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087FCC" w14:textId="419ED8B4" w:rsidR="00D45189" w:rsidRPr="00B6355A" w:rsidRDefault="00D45189" w:rsidP="00D45189">
      <w:pPr>
        <w:spacing w:before="240" w:after="240"/>
        <w:contextualSpacing/>
        <w:jc w:val="both"/>
        <w:outlineLvl w:val="0"/>
        <w:rPr>
          <w:rFonts w:asciiTheme="minorHAnsi" w:hAnsiTheme="minorHAnsi" w:cstheme="minorHAnsi"/>
          <w:b/>
          <w:bCs/>
          <w:noProof/>
          <w:sz w:val="22"/>
          <w:szCs w:val="22"/>
        </w:rPr>
      </w:pPr>
      <w:bookmarkStart w:id="0" w:name="_Toc187752804"/>
      <w:bookmarkStart w:id="1" w:name="_Toc187756318"/>
      <w:r w:rsidRPr="00B6355A">
        <w:rPr>
          <w:rFonts w:asciiTheme="minorHAnsi" w:hAnsiTheme="minorHAnsi" w:cstheme="minorHAnsi"/>
          <w:b/>
          <w:bCs/>
          <w:noProof/>
          <w:sz w:val="22"/>
          <w:szCs w:val="22"/>
        </w:rPr>
        <w:t xml:space="preserve">PRILOGA </w:t>
      </w:r>
      <w:r w:rsidR="00CD009B">
        <w:rPr>
          <w:rFonts w:asciiTheme="minorHAnsi" w:hAnsiTheme="minorHAnsi" w:cstheme="minorHAnsi"/>
          <w:b/>
          <w:bCs/>
          <w:noProof/>
          <w:sz w:val="22"/>
          <w:szCs w:val="22"/>
        </w:rPr>
        <w:t>2</w:t>
      </w:r>
      <w:r w:rsidRPr="00B6355A">
        <w:rPr>
          <w:rFonts w:asciiTheme="minorHAnsi" w:hAnsiTheme="minorHAnsi" w:cstheme="minorHAnsi"/>
          <w:b/>
          <w:bCs/>
          <w:noProof/>
          <w:sz w:val="22"/>
          <w:szCs w:val="22"/>
        </w:rPr>
        <w:t xml:space="preserve"> </w:t>
      </w:r>
      <w:r w:rsidRPr="00B6355A">
        <w:rPr>
          <w:rFonts w:asciiTheme="minorHAnsi" w:hAnsiTheme="minorHAnsi" w:cstheme="minorHAnsi"/>
          <w:noProof/>
          <w:sz w:val="22"/>
          <w:szCs w:val="22"/>
        </w:rPr>
        <w:t>Metodologija za opredelitev organizacije za raziskovanje in širjenje znanja</w:t>
      </w:r>
      <w:bookmarkEnd w:id="0"/>
      <w:bookmarkEnd w:id="1"/>
    </w:p>
    <w:p w14:paraId="211B9E3C" w14:textId="77777777" w:rsidR="00D45189" w:rsidRPr="00B6355A" w:rsidRDefault="00D45189" w:rsidP="00D45189">
      <w:pPr>
        <w:spacing w:after="160" w:line="259" w:lineRule="auto"/>
        <w:jc w:val="center"/>
        <w:rPr>
          <w:rFonts w:asciiTheme="minorHAnsi" w:eastAsiaTheme="minorHAnsi" w:hAnsiTheme="minorHAnsi" w:cstheme="minorHAnsi"/>
          <w:b/>
          <w:caps/>
          <w:sz w:val="22"/>
          <w:szCs w:val="22"/>
          <w:lang w:eastAsia="en-US"/>
        </w:rPr>
      </w:pPr>
    </w:p>
    <w:p w14:paraId="3B923791" w14:textId="77777777" w:rsidR="00D45189" w:rsidRPr="006C6318" w:rsidRDefault="00D45189" w:rsidP="006C6318">
      <w:pPr>
        <w:numPr>
          <w:ilvl w:val="0"/>
          <w:numId w:val="4"/>
        </w:numPr>
        <w:spacing w:after="160" w:line="276" w:lineRule="auto"/>
        <w:contextualSpacing/>
        <w:jc w:val="both"/>
        <w:rPr>
          <w:rFonts w:asciiTheme="minorHAnsi" w:hAnsiTheme="minorHAnsi" w:cstheme="minorHAnsi"/>
          <w:b/>
          <w:sz w:val="20"/>
          <w:szCs w:val="20"/>
          <w:lang w:eastAsia="en-US"/>
        </w:rPr>
      </w:pPr>
      <w:r w:rsidRPr="006C6318">
        <w:rPr>
          <w:rFonts w:asciiTheme="minorHAnsi" w:hAnsiTheme="minorHAnsi" w:cstheme="minorHAnsi"/>
          <w:b/>
          <w:sz w:val="20"/>
          <w:szCs w:val="20"/>
          <w:lang w:eastAsia="en-US"/>
        </w:rPr>
        <w:t>UVOD</w:t>
      </w:r>
    </w:p>
    <w:p w14:paraId="736A925C" w14:textId="77777777" w:rsidR="00D45189" w:rsidRPr="006C6318" w:rsidRDefault="00D45189" w:rsidP="006C6318">
      <w:pPr>
        <w:spacing w:after="160" w:line="276" w:lineRule="auto"/>
        <w:jc w:val="both"/>
        <w:rPr>
          <w:rFonts w:asciiTheme="minorHAnsi" w:eastAsiaTheme="minorHAnsi" w:hAnsiTheme="minorHAnsi" w:cstheme="minorHAnsi"/>
          <w:sz w:val="20"/>
          <w:szCs w:val="20"/>
          <w:lang w:eastAsia="en-US"/>
        </w:rPr>
      </w:pPr>
    </w:p>
    <w:p w14:paraId="5A7DC7B6" w14:textId="77777777" w:rsidR="00D45189" w:rsidRPr="006C6318" w:rsidRDefault="00D45189" w:rsidP="006C6318">
      <w:pPr>
        <w:spacing w:after="160" w:line="276" w:lineRule="auto"/>
        <w:jc w:val="both"/>
        <w:rPr>
          <w:rFonts w:asciiTheme="minorHAnsi" w:eastAsiaTheme="minorHAnsi" w:hAnsiTheme="minorHAnsi" w:cstheme="minorHAnsi"/>
          <w:sz w:val="20"/>
          <w:szCs w:val="20"/>
          <w:lang w:eastAsia="en-US"/>
        </w:rPr>
      </w:pPr>
      <w:r w:rsidRPr="006C6318">
        <w:rPr>
          <w:rFonts w:asciiTheme="minorHAnsi" w:eastAsiaTheme="minorHAnsi" w:hAnsiTheme="minorHAnsi" w:cstheme="minorHAnsi"/>
          <w:b/>
          <w:bCs/>
          <w:sz w:val="20"/>
          <w:szCs w:val="20"/>
          <w:lang w:eastAsia="en-US"/>
        </w:rPr>
        <w:t>1. Namen metodologije</w:t>
      </w:r>
      <w:r w:rsidRPr="006C6318">
        <w:rPr>
          <w:rFonts w:asciiTheme="minorHAnsi" w:eastAsiaTheme="minorHAnsi" w:hAnsiTheme="minorHAnsi" w:cstheme="minorHAnsi"/>
          <w:sz w:val="20"/>
          <w:szCs w:val="20"/>
          <w:lang w:eastAsia="en-US"/>
        </w:rPr>
        <w:t xml:space="preserve"> za opredelitev organizacije za raziskovanje in širjenje znanja (v nadaljevanju: </w:t>
      </w:r>
      <w:r w:rsidRPr="006C6318">
        <w:rPr>
          <w:rFonts w:asciiTheme="minorHAnsi" w:eastAsiaTheme="minorHAnsi" w:hAnsiTheme="minorHAnsi" w:cstheme="minorHAnsi"/>
          <w:b/>
          <w:sz w:val="20"/>
          <w:szCs w:val="20"/>
          <w:lang w:eastAsia="en-US"/>
        </w:rPr>
        <w:t>Metodologija</w:t>
      </w:r>
      <w:r w:rsidRPr="006C6318">
        <w:rPr>
          <w:rFonts w:asciiTheme="minorHAnsi" w:eastAsiaTheme="minorHAnsi" w:hAnsiTheme="minorHAnsi" w:cstheme="minorHAnsi"/>
          <w:sz w:val="20"/>
          <w:szCs w:val="20"/>
          <w:lang w:eastAsia="en-US"/>
        </w:rPr>
        <w:t xml:space="preserve">) je določiti postopek preverjanja skladnosti organizacije za raziskave in širjenje znanja (v nadaljevanju </w:t>
      </w:r>
      <w:bookmarkStart w:id="2" w:name="_Hlk185347929"/>
      <w:r w:rsidRPr="006C6318">
        <w:rPr>
          <w:rFonts w:asciiTheme="minorHAnsi" w:eastAsiaTheme="minorHAnsi" w:hAnsiTheme="minorHAnsi" w:cstheme="minorHAnsi"/>
          <w:sz w:val="20"/>
          <w:szCs w:val="20"/>
          <w:lang w:eastAsia="en-US"/>
        </w:rPr>
        <w:t xml:space="preserve">te priloge: </w:t>
      </w:r>
      <w:bookmarkEnd w:id="2"/>
      <w:r w:rsidRPr="006C6318">
        <w:rPr>
          <w:rFonts w:asciiTheme="minorHAnsi" w:eastAsiaTheme="minorHAnsi" w:hAnsiTheme="minorHAnsi" w:cstheme="minorHAnsi"/>
          <w:b/>
          <w:sz w:val="20"/>
          <w:szCs w:val="20"/>
          <w:lang w:eastAsia="en-US"/>
        </w:rPr>
        <w:t>organizacija za raziskovanje in širjenje znanja</w:t>
      </w:r>
      <w:r w:rsidRPr="006C6318">
        <w:rPr>
          <w:rFonts w:asciiTheme="minorHAnsi" w:eastAsiaTheme="minorHAnsi" w:hAnsiTheme="minorHAnsi" w:cstheme="minorHAnsi"/>
          <w:sz w:val="20"/>
          <w:szCs w:val="20"/>
          <w:lang w:eastAsia="en-US"/>
        </w:rPr>
        <w:t>) v skladu z Uredbo Komisije (EU) št. 651/2014 z dne 17. junija 2014 o razglasitvi nekaterih vrst pomoči za združljive z notranjim trgom pri uporabi členov 107 in 108 Pogodbe (besedilo velja za EGP)</w:t>
      </w:r>
      <w:r w:rsidRPr="006C6318">
        <w:rPr>
          <w:rFonts w:asciiTheme="minorHAnsi" w:eastAsiaTheme="minorHAnsi" w:hAnsiTheme="minorHAnsi" w:cstheme="minorHAnsi"/>
          <w:sz w:val="20"/>
          <w:szCs w:val="20"/>
          <w:vertAlign w:val="superscript"/>
          <w:lang w:eastAsia="en-US"/>
        </w:rPr>
        <w:footnoteReference w:id="1"/>
      </w:r>
      <w:r w:rsidRPr="006C6318">
        <w:rPr>
          <w:rFonts w:asciiTheme="minorHAnsi" w:eastAsiaTheme="minorHAnsi" w:hAnsiTheme="minorHAnsi" w:cstheme="minorHAnsi"/>
          <w:sz w:val="20"/>
          <w:szCs w:val="20"/>
          <w:lang w:eastAsia="en-US"/>
        </w:rPr>
        <w:t xml:space="preserve"> (v nadaljevanju</w:t>
      </w:r>
      <w:r w:rsidRPr="00B6355A">
        <w:rPr>
          <w:rFonts w:asciiTheme="minorHAnsi" w:hAnsiTheme="minorHAnsi" w:cstheme="minorHAnsi"/>
          <w:sz w:val="20"/>
          <w:szCs w:val="20"/>
        </w:rPr>
        <w:t xml:space="preserve"> </w:t>
      </w:r>
      <w:r w:rsidRPr="006C6318">
        <w:rPr>
          <w:rFonts w:asciiTheme="minorHAnsi" w:eastAsiaTheme="minorHAnsi" w:hAnsiTheme="minorHAnsi" w:cstheme="minorHAnsi"/>
          <w:sz w:val="20"/>
          <w:szCs w:val="20"/>
          <w:lang w:eastAsia="en-US"/>
        </w:rPr>
        <w:t xml:space="preserve">te priloge:: </w:t>
      </w:r>
      <w:r w:rsidRPr="006C6318">
        <w:rPr>
          <w:rFonts w:asciiTheme="minorHAnsi" w:eastAsiaTheme="minorHAnsi" w:hAnsiTheme="minorHAnsi" w:cstheme="minorHAnsi"/>
          <w:b/>
          <w:sz w:val="20"/>
          <w:szCs w:val="20"/>
          <w:lang w:eastAsia="en-US"/>
        </w:rPr>
        <w:t>Uredba</w:t>
      </w:r>
      <w:r w:rsidRPr="006C6318">
        <w:rPr>
          <w:rFonts w:asciiTheme="minorHAnsi" w:eastAsiaTheme="minorHAnsi" w:hAnsiTheme="minorHAnsi" w:cstheme="minorHAnsi"/>
          <w:sz w:val="20"/>
          <w:szCs w:val="20"/>
          <w:lang w:eastAsia="en-US"/>
        </w:rPr>
        <w:t xml:space="preserve">), kot je določeno v točki 83 drugega (2) člena, da </w:t>
      </w:r>
      <w:r w:rsidRPr="006C6318">
        <w:rPr>
          <w:rFonts w:asciiTheme="minorHAnsi" w:eastAsiaTheme="minorHAnsi" w:hAnsiTheme="minorHAnsi" w:cstheme="minorHAnsi"/>
          <w:i/>
          <w:sz w:val="20"/>
          <w:szCs w:val="20"/>
          <w:lang w:eastAsia="en-US"/>
        </w:rPr>
        <w:t>„organizacija za raziskovanje in širjenje znanja“ pomeni subjekt (kot so univerze ali raziskovalni inštituti, agencije za prenos tehnologije, posredniki za inovacije ali v raziskave usmerjeni fizični ali virtualni skupni subjekti), ne glede na njegov pravni status (organiziran po javnem ali zasebnem pravu) ali način financiranja, katerega glavni cilj je neodvisna izvedba temeljnih raziskav, industrijskih raziskav ali eksperimentalnega razvoja ali obsežno razširjanje rezultatov teh dejavnosti prek izobraževanja, objav ali prenosa znanja. Kadar tak subjekt opravlja tudi gospodarske dejavnosti, je treba financiranje, stroške in prihodke navedenih gospodarskih dejavnosti knjižiti ločeno. Podjetja, ki imajo lahko odločilen vpliv na tak subjekt, npr. v vlogi delničarjev ali članov, nimajo prednostnega dostopa do rezultatov raziskav, ki jih je subjekt izvedel</w:t>
      </w:r>
      <w:r w:rsidRPr="006C6318">
        <w:rPr>
          <w:rFonts w:asciiTheme="minorHAnsi" w:eastAsiaTheme="minorHAnsi" w:hAnsiTheme="minorHAnsi" w:cstheme="minorHAnsi"/>
          <w:sz w:val="20"/>
          <w:szCs w:val="20"/>
          <w:lang w:eastAsia="en-US"/>
        </w:rPr>
        <w:t xml:space="preserve"> (v nadaljevanju</w:t>
      </w:r>
      <w:r w:rsidRPr="00B6355A">
        <w:rPr>
          <w:rFonts w:asciiTheme="minorHAnsi" w:hAnsiTheme="minorHAnsi" w:cstheme="minorHAnsi"/>
          <w:sz w:val="20"/>
          <w:szCs w:val="20"/>
        </w:rPr>
        <w:t xml:space="preserve"> </w:t>
      </w:r>
      <w:r w:rsidRPr="006C6318">
        <w:rPr>
          <w:rFonts w:asciiTheme="minorHAnsi" w:eastAsiaTheme="minorHAnsi" w:hAnsiTheme="minorHAnsi" w:cstheme="minorHAnsi"/>
          <w:sz w:val="20"/>
          <w:szCs w:val="20"/>
          <w:lang w:eastAsia="en-US"/>
        </w:rPr>
        <w:t xml:space="preserve">te priloge:: </w:t>
      </w:r>
      <w:r w:rsidRPr="006C6318">
        <w:rPr>
          <w:rFonts w:asciiTheme="minorHAnsi" w:eastAsiaTheme="minorHAnsi" w:hAnsiTheme="minorHAnsi" w:cstheme="minorHAnsi"/>
          <w:b/>
          <w:sz w:val="20"/>
          <w:szCs w:val="20"/>
          <w:lang w:eastAsia="en-US"/>
        </w:rPr>
        <w:t>Definicija organizacije za raziskovanje in širjenje znanja</w:t>
      </w:r>
      <w:r w:rsidRPr="006C6318">
        <w:rPr>
          <w:rFonts w:asciiTheme="minorHAnsi" w:eastAsiaTheme="minorHAnsi" w:hAnsiTheme="minorHAnsi" w:cstheme="minorHAnsi"/>
          <w:sz w:val="20"/>
          <w:szCs w:val="20"/>
          <w:lang w:eastAsia="en-US"/>
        </w:rPr>
        <w:t>).</w:t>
      </w:r>
    </w:p>
    <w:p w14:paraId="2663675D" w14:textId="77777777" w:rsidR="00D45189" w:rsidRPr="006C6318" w:rsidRDefault="00D45189" w:rsidP="006C6318">
      <w:pPr>
        <w:spacing w:after="160" w:line="276" w:lineRule="auto"/>
        <w:jc w:val="both"/>
        <w:rPr>
          <w:rFonts w:asciiTheme="minorHAnsi" w:eastAsiaTheme="minorHAnsi" w:hAnsiTheme="minorHAnsi" w:cstheme="minorHAnsi"/>
          <w:b/>
          <w:sz w:val="20"/>
          <w:szCs w:val="20"/>
          <w:lang w:eastAsia="en-US"/>
        </w:rPr>
      </w:pPr>
      <w:r w:rsidRPr="006C6318">
        <w:rPr>
          <w:rFonts w:asciiTheme="minorHAnsi" w:eastAsiaTheme="minorHAnsi" w:hAnsiTheme="minorHAnsi" w:cstheme="minorHAnsi"/>
          <w:b/>
          <w:sz w:val="20"/>
          <w:szCs w:val="20"/>
          <w:lang w:eastAsia="en-US"/>
        </w:rPr>
        <w:t>2. Metodologija vključuje tudi naslednje definicije:</w:t>
      </w:r>
    </w:p>
    <w:p w14:paraId="4E8110E2" w14:textId="77777777" w:rsidR="00D45189" w:rsidRPr="006C6318" w:rsidRDefault="00D45189" w:rsidP="006C6318">
      <w:pPr>
        <w:spacing w:after="160" w:line="276" w:lineRule="auto"/>
        <w:jc w:val="both"/>
        <w:rPr>
          <w:rFonts w:asciiTheme="minorHAnsi" w:eastAsiaTheme="minorHAnsi" w:hAnsiTheme="minorHAnsi" w:cstheme="minorHAnsi"/>
          <w:sz w:val="20"/>
          <w:szCs w:val="20"/>
          <w:lang w:eastAsia="en-US"/>
        </w:rPr>
      </w:pPr>
      <w:r w:rsidRPr="006C6318">
        <w:rPr>
          <w:rFonts w:asciiTheme="minorHAnsi" w:eastAsiaTheme="minorHAnsi" w:hAnsiTheme="minorHAnsi" w:cstheme="minorHAnsi"/>
          <w:sz w:val="20"/>
          <w:szCs w:val="20"/>
          <w:lang w:eastAsia="en-US"/>
        </w:rPr>
        <w:t>2.1 „temeljna raziskava“ pomeni eksperimentalno ali teoretično delo, ki se izvaja predvsem zaradi pridobivanja novega znanja o temeljnih principih pojavov in opazovanih dejstev, ne da bi bilo neposredno usmerjeno v tržno uporabo (točka 84 drugega (2) člena Uredbe);</w:t>
      </w:r>
    </w:p>
    <w:p w14:paraId="48718D7C" w14:textId="77777777" w:rsidR="00D45189" w:rsidRPr="006C6318" w:rsidRDefault="00D45189" w:rsidP="006C6318">
      <w:pPr>
        <w:spacing w:after="160" w:line="276" w:lineRule="auto"/>
        <w:jc w:val="both"/>
        <w:rPr>
          <w:rFonts w:asciiTheme="minorHAnsi" w:eastAsiaTheme="minorHAnsi" w:hAnsiTheme="minorHAnsi" w:cstheme="minorHAnsi"/>
          <w:color w:val="000000"/>
          <w:sz w:val="20"/>
          <w:szCs w:val="20"/>
          <w:shd w:val="clear" w:color="auto" w:fill="FFFFFF"/>
          <w:lang w:eastAsia="en-US"/>
        </w:rPr>
      </w:pPr>
      <w:r w:rsidRPr="006C6318">
        <w:rPr>
          <w:rFonts w:asciiTheme="minorHAnsi" w:eastAsiaTheme="minorHAnsi" w:hAnsiTheme="minorHAnsi" w:cstheme="minorHAnsi"/>
          <w:color w:val="000000"/>
          <w:sz w:val="20"/>
          <w:szCs w:val="20"/>
          <w:shd w:val="clear" w:color="auto" w:fill="FFFFFF"/>
          <w:lang w:eastAsia="en-US"/>
        </w:rPr>
        <w:t xml:space="preserve">2.2 „industrijska raziskava“ pomeni načrtovano raziskavo ali kritično preiskavo, katere namen je pridobivanje novega znanja in spretnosti za razvoj novih proizvodov, procesov ali storitev ali za znatno izboljšanje obstoječih proizvodov, procesov ali storitev. Vključuje oblikovanje komponent kompleksnih sistemov in lahko zajema izdelavo prototipov v laboratorijskem okolju ali okolju s simuliranimi vmesniki obstoječih sistemov ter pilotnih linij, kadar je to potrebno za industrijske raziskave, zlasti za vrednotenje generične tehnologije (točka 85 </w:t>
      </w:r>
      <w:r w:rsidRPr="006C6318">
        <w:rPr>
          <w:rFonts w:asciiTheme="minorHAnsi" w:eastAsiaTheme="minorHAnsi" w:hAnsiTheme="minorHAnsi" w:cstheme="minorHAnsi"/>
          <w:sz w:val="20"/>
          <w:szCs w:val="20"/>
          <w:lang w:eastAsia="en-US"/>
        </w:rPr>
        <w:t xml:space="preserve">drugega (2) </w:t>
      </w:r>
      <w:r w:rsidRPr="006C6318">
        <w:rPr>
          <w:rFonts w:asciiTheme="minorHAnsi" w:eastAsiaTheme="minorHAnsi" w:hAnsiTheme="minorHAnsi" w:cstheme="minorHAnsi"/>
          <w:color w:val="000000"/>
          <w:sz w:val="20"/>
          <w:szCs w:val="20"/>
          <w:shd w:val="clear" w:color="auto" w:fill="FFFFFF"/>
          <w:lang w:eastAsia="en-US"/>
        </w:rPr>
        <w:t>člena Uredbe);</w:t>
      </w:r>
    </w:p>
    <w:p w14:paraId="474DB0A7" w14:textId="77777777" w:rsidR="00D45189" w:rsidRPr="006C6318" w:rsidRDefault="00D45189" w:rsidP="006C6318">
      <w:pPr>
        <w:spacing w:after="160" w:line="276" w:lineRule="auto"/>
        <w:jc w:val="both"/>
        <w:rPr>
          <w:rFonts w:asciiTheme="minorHAnsi" w:eastAsiaTheme="minorHAnsi" w:hAnsiTheme="minorHAnsi" w:cstheme="minorHAnsi"/>
          <w:color w:val="000000"/>
          <w:sz w:val="20"/>
          <w:szCs w:val="20"/>
          <w:shd w:val="clear" w:color="auto" w:fill="FFFFFF"/>
          <w:lang w:eastAsia="en-US"/>
        </w:rPr>
      </w:pPr>
      <w:r w:rsidRPr="006C6318">
        <w:rPr>
          <w:rFonts w:asciiTheme="minorHAnsi" w:eastAsiaTheme="minorHAnsi" w:hAnsiTheme="minorHAnsi" w:cstheme="minorHAnsi"/>
          <w:sz w:val="20"/>
          <w:szCs w:val="20"/>
          <w:lang w:eastAsia="en-US"/>
        </w:rPr>
        <w:t xml:space="preserve">2.3 </w:t>
      </w:r>
      <w:r w:rsidRPr="006C6318">
        <w:rPr>
          <w:rFonts w:asciiTheme="minorHAnsi" w:eastAsiaTheme="minorHAnsi" w:hAnsiTheme="minorHAnsi" w:cstheme="minorHAnsi"/>
          <w:color w:val="000000"/>
          <w:sz w:val="20"/>
          <w:szCs w:val="20"/>
          <w:shd w:val="clear" w:color="auto" w:fill="FFFFFF"/>
          <w:lang w:eastAsia="en-US"/>
        </w:rPr>
        <w:t>„eksperimentalni razvoj“ pomeni pridobivanje, združevanje, oblikovanje in uporabo obstoječega znanstvenega, tehnološkega, poslovnega in drugega ustreznega znanja in spretnosti, katerih cilj je razvoj novih ali izboljšanih proizvodov, procesov ali storitev. Ti lahko vključujejo npr. tudi dejavnosti, usmerjene v konceptualne opredelitve, načrtovanje in dokumentacijo novih proizvodov, procesov ali storitev.</w:t>
      </w:r>
    </w:p>
    <w:p w14:paraId="0A7ED202" w14:textId="77777777" w:rsidR="00D45189" w:rsidRPr="006C6318" w:rsidRDefault="00D45189" w:rsidP="006C6318">
      <w:pPr>
        <w:spacing w:after="160" w:line="276" w:lineRule="auto"/>
        <w:jc w:val="both"/>
        <w:rPr>
          <w:rFonts w:asciiTheme="minorHAnsi" w:eastAsiaTheme="minorHAnsi" w:hAnsiTheme="minorHAnsi" w:cstheme="minorHAnsi"/>
          <w:color w:val="000000"/>
          <w:sz w:val="20"/>
          <w:szCs w:val="20"/>
          <w:shd w:val="clear" w:color="auto" w:fill="FFFFFF"/>
          <w:lang w:eastAsia="en-US"/>
        </w:rPr>
      </w:pPr>
      <w:r w:rsidRPr="006C6318">
        <w:rPr>
          <w:rFonts w:asciiTheme="minorHAnsi" w:eastAsiaTheme="minorHAnsi" w:hAnsiTheme="minorHAnsi" w:cstheme="minorHAnsi"/>
          <w:color w:val="000000"/>
          <w:sz w:val="20"/>
          <w:szCs w:val="20"/>
          <w:shd w:val="clear" w:color="auto" w:fill="FFFFFF"/>
          <w:lang w:eastAsia="en-US"/>
        </w:rPr>
        <w:t>Eksperimentalni razvoj lahko vključuje izdelavo prototipov, predstavitve, pilotne projekte, preskušanje in potrjevanje novih ali izboljšanih proizvodov, procesov ali storitev v okoljih, ki so tipični za vsakdanje pogoje obratovanja, kadar je osnovni cilj nadalje tehnično izboljšati proizvode, procese ali storitve, ki niso v veliki meri ustaljeni. To lahko vključuje razvoj prototipa ali pilotnega projekta za tržno uporabo, ki je obvezno končni tržni izdelek in je predrag, da bi ga izdelali samo za namene predstavitve in potrjevanja.</w:t>
      </w:r>
    </w:p>
    <w:p w14:paraId="3E4B5A50" w14:textId="77777777" w:rsidR="00D45189" w:rsidRPr="006C6318" w:rsidRDefault="00D45189" w:rsidP="006C6318">
      <w:pPr>
        <w:spacing w:after="160" w:line="276" w:lineRule="auto"/>
        <w:jc w:val="both"/>
        <w:rPr>
          <w:rFonts w:asciiTheme="minorHAnsi" w:eastAsiaTheme="minorHAnsi" w:hAnsiTheme="minorHAnsi" w:cstheme="minorHAnsi"/>
          <w:color w:val="000000"/>
          <w:sz w:val="20"/>
          <w:szCs w:val="20"/>
          <w:shd w:val="clear" w:color="auto" w:fill="FFFFFF"/>
          <w:lang w:eastAsia="en-US"/>
        </w:rPr>
      </w:pPr>
      <w:r w:rsidRPr="006C6318">
        <w:rPr>
          <w:rFonts w:asciiTheme="minorHAnsi" w:eastAsiaTheme="minorHAnsi" w:hAnsiTheme="minorHAnsi" w:cstheme="minorHAnsi"/>
          <w:color w:val="000000"/>
          <w:sz w:val="20"/>
          <w:szCs w:val="20"/>
          <w:shd w:val="clear" w:color="auto" w:fill="FFFFFF"/>
          <w:lang w:eastAsia="en-US"/>
        </w:rPr>
        <w:t>Eksperimentalni razvoj ne vključuje rednih ali občasnih sprememb obstoječega proizvoda, proizvodnih linij, proizvodnih procesov, storitev in drugih tekočih dejavnosti, tudi če takšne spremembe lahko pomenijo izboljšanje (točka 86 drugega (2) člena Uredbe);</w:t>
      </w:r>
    </w:p>
    <w:p w14:paraId="6BD482C1" w14:textId="77777777" w:rsidR="00D45189" w:rsidRPr="006C6318" w:rsidRDefault="00D45189" w:rsidP="006C6318">
      <w:pPr>
        <w:spacing w:after="160" w:line="276" w:lineRule="auto"/>
        <w:jc w:val="both"/>
        <w:rPr>
          <w:rFonts w:asciiTheme="minorHAnsi" w:eastAsiaTheme="minorHAnsi" w:hAnsiTheme="minorHAnsi" w:cstheme="minorHAnsi"/>
          <w:sz w:val="20"/>
          <w:szCs w:val="20"/>
          <w:lang w:eastAsia="en-US"/>
        </w:rPr>
      </w:pPr>
      <w:r w:rsidRPr="006C6318">
        <w:rPr>
          <w:rFonts w:asciiTheme="minorHAnsi" w:eastAsiaTheme="minorHAnsi" w:hAnsiTheme="minorHAnsi" w:cstheme="minorHAnsi"/>
          <w:sz w:val="20"/>
          <w:szCs w:val="20"/>
          <w:lang w:eastAsia="en-US"/>
        </w:rPr>
        <w:lastRenderedPageBreak/>
        <w:t>2.4 Podjetje je vsaka pravna ali fizična oseba, ki se ukvarja z gospodarsko dejavnostjo, ne glede na njeno pravno obliko. To zlasti vključuje samozaposlene osebe in družinska podjetja, ki se ukvarjajo z obrtjo ali drugimi dejavnostmi, ter partnerska podjetja ali združenja, ki se redno ukvarjajo z gospodarsko dejavnostjo (1. člen Priloge 1 Uredbe).</w:t>
      </w:r>
    </w:p>
    <w:p w14:paraId="52A92232" w14:textId="77777777" w:rsidR="00D45189" w:rsidRPr="006C6318" w:rsidRDefault="00D45189" w:rsidP="006C6318">
      <w:pPr>
        <w:spacing w:after="160" w:line="276" w:lineRule="auto"/>
        <w:jc w:val="both"/>
        <w:rPr>
          <w:rFonts w:asciiTheme="minorHAnsi" w:eastAsiaTheme="minorHAnsi" w:hAnsiTheme="minorHAnsi" w:cstheme="minorHAnsi"/>
          <w:b/>
          <w:sz w:val="20"/>
          <w:szCs w:val="20"/>
          <w:lang w:eastAsia="en-US"/>
        </w:rPr>
      </w:pPr>
      <w:r w:rsidRPr="006C6318">
        <w:rPr>
          <w:rFonts w:asciiTheme="minorHAnsi" w:eastAsiaTheme="minorHAnsi" w:hAnsiTheme="minorHAnsi" w:cstheme="minorHAnsi"/>
          <w:b/>
          <w:sz w:val="20"/>
          <w:szCs w:val="20"/>
          <w:lang w:eastAsia="en-US"/>
        </w:rPr>
        <w:t>3. Metodologija vključuje tudi naslednjo sodno prakso:</w:t>
      </w:r>
    </w:p>
    <w:p w14:paraId="3D91AA36" w14:textId="77777777" w:rsidR="00D45189" w:rsidRPr="006C6318" w:rsidRDefault="00D45189" w:rsidP="006C6318">
      <w:pPr>
        <w:spacing w:after="160" w:line="276" w:lineRule="auto"/>
        <w:jc w:val="both"/>
        <w:rPr>
          <w:rFonts w:asciiTheme="minorHAnsi" w:eastAsiaTheme="minorHAnsi" w:hAnsiTheme="minorHAnsi" w:cstheme="minorHAnsi"/>
          <w:sz w:val="20"/>
          <w:szCs w:val="20"/>
          <w:lang w:eastAsia="en-US"/>
        </w:rPr>
      </w:pPr>
      <w:r w:rsidRPr="006C6318">
        <w:rPr>
          <w:rFonts w:asciiTheme="minorHAnsi" w:eastAsiaTheme="minorHAnsi" w:hAnsiTheme="minorHAnsi" w:cstheme="minorHAnsi"/>
          <w:sz w:val="20"/>
          <w:szCs w:val="20"/>
          <w:lang w:eastAsia="en-US"/>
        </w:rPr>
        <w:t>3.1 Sodba Sodišča Evropske unije z dne 13. oktobra 2022 v združenih zadevah C-164/21 in C-318/21</w:t>
      </w:r>
      <w:r w:rsidRPr="006C6318">
        <w:rPr>
          <w:rFonts w:asciiTheme="minorHAnsi" w:eastAsiaTheme="minorHAnsi" w:hAnsiTheme="minorHAnsi" w:cstheme="minorHAnsi"/>
          <w:sz w:val="20"/>
          <w:szCs w:val="20"/>
          <w:vertAlign w:val="superscript"/>
          <w:lang w:eastAsia="en-US"/>
        </w:rPr>
        <w:footnoteReference w:id="2"/>
      </w:r>
      <w:r w:rsidRPr="006C6318">
        <w:rPr>
          <w:rFonts w:asciiTheme="minorHAnsi" w:eastAsiaTheme="minorHAnsi" w:hAnsiTheme="minorHAnsi" w:cstheme="minorHAnsi"/>
          <w:sz w:val="20"/>
          <w:szCs w:val="20"/>
          <w:lang w:eastAsia="en-US"/>
        </w:rPr>
        <w:t xml:space="preserve"> (v nadaljevanju: sodba SEU), na primer:</w:t>
      </w:r>
    </w:p>
    <w:p w14:paraId="183BAF7D" w14:textId="77777777" w:rsidR="00D45189" w:rsidRPr="006C6318" w:rsidRDefault="00D45189" w:rsidP="006C6318">
      <w:pPr>
        <w:spacing w:after="160" w:line="276" w:lineRule="auto"/>
        <w:jc w:val="both"/>
        <w:rPr>
          <w:rFonts w:asciiTheme="minorHAnsi" w:eastAsiaTheme="minorHAnsi" w:hAnsiTheme="minorHAnsi" w:cstheme="minorHAnsi"/>
          <w:sz w:val="20"/>
          <w:szCs w:val="20"/>
          <w:lang w:eastAsia="en-US"/>
        </w:rPr>
      </w:pPr>
      <w:r w:rsidRPr="006C6318">
        <w:rPr>
          <w:rFonts w:asciiTheme="minorHAnsi" w:eastAsiaTheme="minorHAnsi" w:hAnsiTheme="minorHAnsi" w:cstheme="minorHAnsi"/>
          <w:sz w:val="20"/>
          <w:szCs w:val="20"/>
          <w:lang w:eastAsia="en-US"/>
        </w:rPr>
        <w:t>3.1.1 Točka 46: »[…] kar zadeva pojem „glavni cilj“, je treba opozoriti, da ga Uredba št. 651/2014 ne opredeljuje. Zato mora Sodišče določiti njegov pomen in obseg v skladu z njegovim običajnim pomenom v vsakdanjem jeziku […]. V vsakdanjem jeziku se cilj subjekta nanaša na cilj, ki ga namerava doseči, pridevnik 'glavni' pa poudarja večji pomen zadevnega cilja in s tem njegovo prednost pred vsemi drugimi možnimi cilji subjekta.«;</w:t>
      </w:r>
    </w:p>
    <w:p w14:paraId="44C80808" w14:textId="77777777" w:rsidR="00D45189" w:rsidRPr="006C6318" w:rsidRDefault="00D45189" w:rsidP="006C6318">
      <w:pPr>
        <w:spacing w:after="160" w:line="276" w:lineRule="auto"/>
        <w:jc w:val="both"/>
        <w:rPr>
          <w:rFonts w:asciiTheme="minorHAnsi" w:eastAsiaTheme="minorHAnsi" w:hAnsiTheme="minorHAnsi" w:cstheme="minorHAnsi"/>
          <w:sz w:val="20"/>
          <w:szCs w:val="20"/>
          <w:lang w:eastAsia="en-US"/>
        </w:rPr>
      </w:pPr>
      <w:r w:rsidRPr="006C6318">
        <w:rPr>
          <w:rFonts w:asciiTheme="minorHAnsi" w:eastAsiaTheme="minorHAnsi" w:hAnsiTheme="minorHAnsi" w:cstheme="minorHAnsi"/>
          <w:sz w:val="20"/>
          <w:szCs w:val="20"/>
          <w:lang w:eastAsia="en-US"/>
        </w:rPr>
        <w:t xml:space="preserve">3.1.2 Točka 48: »[…] pojem „glavni cilj« […] ne preprečuje organizaciji za raziskovanje in širjenje znanja, da izvaja tudi druge dejavnosti, ki so morebiti gospodarske narave, kot so plačljive izobraževalne dejavnosti, pod pogojem, da te dejavnosti ohranijo sekundarno, </w:t>
      </w:r>
      <w:proofErr w:type="spellStart"/>
      <w:r w:rsidRPr="006C6318">
        <w:rPr>
          <w:rFonts w:asciiTheme="minorHAnsi" w:eastAsiaTheme="minorHAnsi" w:hAnsiTheme="minorHAnsi" w:cstheme="minorHAnsi"/>
          <w:sz w:val="20"/>
          <w:szCs w:val="20"/>
          <w:lang w:eastAsia="en-US"/>
        </w:rPr>
        <w:t>neprevladujočo</w:t>
      </w:r>
      <w:proofErr w:type="spellEnd"/>
      <w:r w:rsidRPr="006C6318">
        <w:rPr>
          <w:rFonts w:asciiTheme="minorHAnsi" w:eastAsiaTheme="minorHAnsi" w:hAnsiTheme="minorHAnsi" w:cstheme="minorHAnsi"/>
          <w:sz w:val="20"/>
          <w:szCs w:val="20"/>
          <w:lang w:eastAsia="en-US"/>
        </w:rPr>
        <w:t xml:space="preserve"> naravo v odnosu do osnovne dejavnosti, ki običajno niso gospodarske narave in vključujejo neodvisno raziskovanje ali širjenje rezultatov tega raziskovanja […] organizacija za raziskovanje in širjenje znanja lahko opravlja tako gospodarsko dejavnost kot negospodarsko dejavnost.«;</w:t>
      </w:r>
    </w:p>
    <w:p w14:paraId="48E8E888" w14:textId="77777777" w:rsidR="00D45189" w:rsidRPr="006C6318" w:rsidRDefault="00D45189" w:rsidP="006C6318">
      <w:pPr>
        <w:spacing w:after="160" w:line="276" w:lineRule="auto"/>
        <w:jc w:val="both"/>
        <w:rPr>
          <w:rFonts w:asciiTheme="minorHAnsi" w:eastAsiaTheme="minorHAnsi" w:hAnsiTheme="minorHAnsi" w:cstheme="minorHAnsi"/>
          <w:sz w:val="20"/>
          <w:szCs w:val="20"/>
          <w:lang w:eastAsia="en-US"/>
        </w:rPr>
      </w:pPr>
      <w:r w:rsidRPr="006C6318">
        <w:rPr>
          <w:rFonts w:asciiTheme="minorHAnsi" w:eastAsiaTheme="minorHAnsi" w:hAnsiTheme="minorHAnsi" w:cstheme="minorHAnsi"/>
          <w:sz w:val="20"/>
          <w:szCs w:val="20"/>
          <w:lang w:eastAsia="en-US"/>
        </w:rPr>
        <w:t>3.1.3 Točka 50: »[…] za opredelitev kot „organizacija za raziskovanje in razširjanje znanja“ v smislu člena 2(83) Uredbe št. 651/2014 mora subjekt izvajati neodvisne raziskave, po možnosti dopolnjene z dejavnostmi za širjenje rezultatov teh raziskovalnih dejavnosti.«;</w:t>
      </w:r>
    </w:p>
    <w:p w14:paraId="2A2D8A24" w14:textId="77777777" w:rsidR="00D45189" w:rsidRPr="006C6318" w:rsidRDefault="00D45189" w:rsidP="006C6318">
      <w:pPr>
        <w:spacing w:after="160" w:line="276" w:lineRule="auto"/>
        <w:jc w:val="both"/>
        <w:rPr>
          <w:rFonts w:asciiTheme="minorHAnsi" w:eastAsiaTheme="minorHAnsi" w:hAnsiTheme="minorHAnsi" w:cstheme="minorHAnsi"/>
          <w:sz w:val="20"/>
          <w:szCs w:val="20"/>
          <w:lang w:eastAsia="en-US"/>
        </w:rPr>
      </w:pPr>
      <w:r w:rsidRPr="006C6318">
        <w:rPr>
          <w:rFonts w:asciiTheme="minorHAnsi" w:eastAsiaTheme="minorHAnsi" w:hAnsiTheme="minorHAnsi" w:cstheme="minorHAnsi"/>
          <w:sz w:val="20"/>
          <w:szCs w:val="20"/>
          <w:lang w:eastAsia="en-US"/>
        </w:rPr>
        <w:t>3.1.4 Točka 51: »Zato ustanov, namenjenih izključno izobraževanim dejavnostim in splošnemu širjenju že priznanih znanstvenih spoznanj ni mogoče opredeliti kot organizacije za raziskovanje in širjenje znanja […].«;</w:t>
      </w:r>
    </w:p>
    <w:p w14:paraId="30194DA9" w14:textId="77777777" w:rsidR="00D45189" w:rsidRPr="006C6318" w:rsidRDefault="00D45189" w:rsidP="006C6318">
      <w:pPr>
        <w:spacing w:after="160" w:line="276" w:lineRule="auto"/>
        <w:jc w:val="both"/>
        <w:rPr>
          <w:rFonts w:asciiTheme="minorHAnsi" w:eastAsiaTheme="minorHAnsi" w:hAnsiTheme="minorHAnsi" w:cstheme="minorHAnsi"/>
          <w:sz w:val="20"/>
          <w:szCs w:val="20"/>
          <w:lang w:eastAsia="en-US"/>
        </w:rPr>
      </w:pPr>
      <w:r w:rsidRPr="006C6318">
        <w:rPr>
          <w:rFonts w:asciiTheme="minorHAnsi" w:eastAsiaTheme="minorHAnsi" w:hAnsiTheme="minorHAnsi" w:cstheme="minorHAnsi"/>
          <w:sz w:val="20"/>
          <w:szCs w:val="20"/>
          <w:lang w:eastAsia="en-US"/>
        </w:rPr>
        <w:t>3.1.5 Točka 52: »[…] merila, po katerih se ocenjuje bistveni pogoj glede glavnega cilja subjekta, da bi ta subjekt kvalificirali kot ‘organizacijo za raziskovanje in širjenje znanja’ v smislu točke 83 člena 2 Uredbe št. 651/2014, niso konkretizirana v navedeni točki 83 člena 2. Zato je treba skleniti, da je za oceno glavnega cilja subjekta v skladu s to določbo dovoljeno upoštevati vsa pomembna merila, kot so ustrezna pravna ureditev ali statut zadevnega subjekta.«;</w:t>
      </w:r>
    </w:p>
    <w:p w14:paraId="55C52A47" w14:textId="77777777" w:rsidR="00D45189" w:rsidRPr="006C6318" w:rsidRDefault="00D45189" w:rsidP="006C6318">
      <w:pPr>
        <w:spacing w:after="160" w:line="276" w:lineRule="auto"/>
        <w:jc w:val="both"/>
        <w:rPr>
          <w:rFonts w:asciiTheme="minorHAnsi" w:eastAsiaTheme="minorHAnsi" w:hAnsiTheme="minorHAnsi" w:cstheme="minorHAnsi"/>
          <w:sz w:val="20"/>
          <w:szCs w:val="20"/>
          <w:lang w:eastAsia="en-US"/>
        </w:rPr>
      </w:pPr>
      <w:r w:rsidRPr="006C6318">
        <w:rPr>
          <w:rFonts w:asciiTheme="minorHAnsi" w:eastAsiaTheme="minorHAnsi" w:hAnsiTheme="minorHAnsi" w:cstheme="minorHAnsi"/>
          <w:sz w:val="20"/>
          <w:szCs w:val="20"/>
          <w:lang w:eastAsia="en-US"/>
        </w:rPr>
        <w:t>3.1.6 Točka 59: »Točko 83 drugega (2) člena Uredbe št. 651/2014 je treba razlagati tako, da se subjekt zasebnega prava, ki izvaja več dejavnosti, vključno z raziskavami, vendar večino svojih prihodkov pridobiva iz gospodarskih dejavnosti, kot je zagotavljanje izobraževalnih storitev za plačilo, lahko šteje za ‘organizacijo za raziskave in širjenje znanja’ v smislu te določbe, pod pogojem, da je ob upoštevanju vseh okoliščin, ki so pomembne v zadevnem primeru, mogoče ugotoviti, da je njegov glavni cilj popolnoma neodvisno izvajanje temeljnih raziskav, industrijskih raziskav ali eksperimentalnega razvoja, po možnosti dopolnjen z dejavnostmi za širjenje rezultatov te raziskovalne dejavnosti, poučevanjem, objavljanjem ali prenosom znanja. V tem smislu od takega subjekta ni mogoče zahtevati, da določen delež svojih prihodkov pridobi iz dejavnosti raziskovanja in širjenja znanja, ki niso gospodarske narave.«.</w:t>
      </w:r>
    </w:p>
    <w:p w14:paraId="07F3D67D" w14:textId="77777777" w:rsidR="00D45189" w:rsidRPr="006C6318" w:rsidRDefault="00D45189" w:rsidP="006C6318">
      <w:pPr>
        <w:spacing w:after="160" w:line="276" w:lineRule="auto"/>
        <w:jc w:val="both"/>
        <w:rPr>
          <w:rFonts w:asciiTheme="minorHAnsi" w:eastAsiaTheme="minorHAnsi" w:hAnsiTheme="minorHAnsi" w:cstheme="minorHAnsi"/>
          <w:sz w:val="20"/>
          <w:szCs w:val="20"/>
          <w:lang w:eastAsia="en-US"/>
        </w:rPr>
      </w:pPr>
      <w:r w:rsidRPr="006C6318">
        <w:rPr>
          <w:rFonts w:asciiTheme="minorHAnsi" w:eastAsiaTheme="minorHAnsi" w:hAnsiTheme="minorHAnsi" w:cstheme="minorHAnsi"/>
          <w:sz w:val="20"/>
          <w:szCs w:val="20"/>
          <w:lang w:eastAsia="en-US"/>
        </w:rPr>
        <w:t>3.2 Sklepi generalnega pravobranilca</w:t>
      </w:r>
      <w:r w:rsidRPr="006C6318">
        <w:rPr>
          <w:rFonts w:asciiTheme="minorHAnsi" w:eastAsiaTheme="minorHAnsi" w:hAnsiTheme="minorHAnsi" w:cstheme="minorHAnsi"/>
          <w:sz w:val="20"/>
          <w:szCs w:val="20"/>
          <w:vertAlign w:val="superscript"/>
          <w:lang w:eastAsia="en-US"/>
        </w:rPr>
        <w:footnoteReference w:id="3"/>
      </w:r>
      <w:r w:rsidRPr="006C6318">
        <w:rPr>
          <w:rFonts w:asciiTheme="minorHAnsi" w:eastAsiaTheme="minorHAnsi" w:hAnsiTheme="minorHAnsi" w:cstheme="minorHAnsi"/>
          <w:sz w:val="20"/>
          <w:szCs w:val="20"/>
          <w:lang w:eastAsia="en-US"/>
        </w:rPr>
        <w:t xml:space="preserve"> (pristojno Sodišče EU spremlja potek zadeve) v preambuli sodbe SEU</w:t>
      </w:r>
      <w:r w:rsidRPr="006C6318">
        <w:rPr>
          <w:rFonts w:asciiTheme="minorHAnsi" w:eastAsiaTheme="minorHAnsi" w:hAnsiTheme="minorHAnsi" w:cstheme="minorHAnsi"/>
          <w:sz w:val="20"/>
          <w:szCs w:val="20"/>
          <w:vertAlign w:val="superscript"/>
          <w:lang w:eastAsia="en-US"/>
        </w:rPr>
        <w:footnoteReference w:id="4"/>
      </w:r>
      <w:r w:rsidRPr="006C6318">
        <w:rPr>
          <w:rFonts w:asciiTheme="minorHAnsi" w:eastAsiaTheme="minorHAnsi" w:hAnsiTheme="minorHAnsi" w:cstheme="minorHAnsi"/>
          <w:sz w:val="20"/>
          <w:szCs w:val="20"/>
          <w:lang w:eastAsia="en-US"/>
        </w:rPr>
        <w:t>, na primer, da:</w:t>
      </w:r>
    </w:p>
    <w:p w14:paraId="30783415" w14:textId="77777777" w:rsidR="00D45189" w:rsidRPr="006C6318" w:rsidRDefault="00D45189" w:rsidP="006C6318">
      <w:pPr>
        <w:spacing w:after="160" w:line="276" w:lineRule="auto"/>
        <w:jc w:val="both"/>
        <w:rPr>
          <w:rFonts w:asciiTheme="minorHAnsi" w:eastAsiaTheme="minorHAnsi" w:hAnsiTheme="minorHAnsi" w:cstheme="minorHAnsi"/>
          <w:sz w:val="20"/>
          <w:szCs w:val="20"/>
          <w:lang w:eastAsia="en-US"/>
        </w:rPr>
      </w:pPr>
      <w:r w:rsidRPr="006C6318">
        <w:rPr>
          <w:rFonts w:asciiTheme="minorHAnsi" w:eastAsiaTheme="minorHAnsi" w:hAnsiTheme="minorHAnsi" w:cstheme="minorHAnsi"/>
          <w:sz w:val="20"/>
          <w:szCs w:val="20"/>
          <w:lang w:eastAsia="en-US"/>
        </w:rPr>
        <w:lastRenderedPageBreak/>
        <w:t>3.2.1 "73. [...] besedno zvezo "glavni cilj" je treba razumeti v smislu dejavnosti, za opravljanje katerih je bil subjekt sploh ustanovljen. Seveda je lahko osnovnih dejavnosti več.«</w:t>
      </w:r>
    </w:p>
    <w:p w14:paraId="0E72C5BA" w14:textId="77777777" w:rsidR="00D45189" w:rsidRPr="006C6318" w:rsidRDefault="00D45189" w:rsidP="006C6318">
      <w:pPr>
        <w:spacing w:after="160" w:line="276" w:lineRule="auto"/>
        <w:jc w:val="both"/>
        <w:rPr>
          <w:rFonts w:asciiTheme="minorHAnsi" w:eastAsiaTheme="minorHAnsi" w:hAnsiTheme="minorHAnsi" w:cstheme="minorHAnsi"/>
          <w:sz w:val="20"/>
          <w:szCs w:val="20"/>
          <w:lang w:eastAsia="en-US"/>
        </w:rPr>
      </w:pPr>
      <w:r w:rsidRPr="006C6318">
        <w:rPr>
          <w:rFonts w:asciiTheme="minorHAnsi" w:eastAsiaTheme="minorHAnsi" w:hAnsiTheme="minorHAnsi" w:cstheme="minorHAnsi"/>
          <w:sz w:val="20"/>
          <w:szCs w:val="20"/>
          <w:lang w:eastAsia="en-US"/>
        </w:rPr>
        <w:t>3.2.2 »74. Na primer, ustanove, kot so univerze, so običajno ustanovljene za širjenje znanja in izvajanje raziskav. Tako poučevanje kot raziskovanje sta tu njihovi osnovni dejavnosti. Raziskovalni inštituti so lahko ustanovljeni izključno za raziskave in lahko svoje rezultate širijo v zunanjih publikacijah. Tako je raziskovanje njihova edina osnovna dejavnost. Nazadnje, nekatere ustanove, kot so jezikovne šole ali ustanove za poklicno usposabljanje, so morda ustanovljene samo za poučevanje, lahko pa tudi izvajajo raziskave o na primer izboljšanju svoje metodologije poučevanja. Vendar tovrstne raziskave niso glavni cilj takšne ustanove; v tem scenariju je raziskovanje le instrumentalno in zato pomožno glede na glavni cilj institucije, ki je poučevanje.«</w:t>
      </w:r>
    </w:p>
    <w:p w14:paraId="6418179B" w14:textId="77777777" w:rsidR="00D45189" w:rsidRPr="006C6318" w:rsidRDefault="00D45189" w:rsidP="006C6318">
      <w:pPr>
        <w:spacing w:after="160" w:line="276" w:lineRule="auto"/>
        <w:jc w:val="both"/>
        <w:rPr>
          <w:rFonts w:asciiTheme="minorHAnsi" w:eastAsiaTheme="minorHAnsi" w:hAnsiTheme="minorHAnsi" w:cstheme="minorHAnsi"/>
          <w:sz w:val="20"/>
          <w:szCs w:val="20"/>
          <w:lang w:eastAsia="en-US"/>
        </w:rPr>
      </w:pPr>
      <w:r w:rsidRPr="006C6318">
        <w:rPr>
          <w:rFonts w:asciiTheme="minorHAnsi" w:eastAsiaTheme="minorHAnsi" w:hAnsiTheme="minorHAnsi" w:cstheme="minorHAnsi"/>
          <w:sz w:val="20"/>
          <w:szCs w:val="20"/>
          <w:lang w:eastAsia="en-US"/>
        </w:rPr>
        <w:t>3.2.3 »81. Za presojo osnovne dejavnosti subjekta je lahko koristnih več dejavnikov: statut ali podoben ustanovitveni akt subjekta, njegova letna poročila in ali izpolnjuje merila nacionalne zakonodaje za pridobitev statusa višje izobraževalne ali raziskovalne ustanove (kot je akreditacija),  kot tudi poročila nacionalnega akreditacijskega organa. Glede na to, da se visokošolske akreditacije običajno podeljujejo za omejeno obdobje in se lahko podaljšujejo, se lahko odločitve o ponovni akreditaciji obravnavajo tudi kot priložnost za določitev osnovne dejavnosti subjekta.«</w:t>
      </w:r>
    </w:p>
    <w:p w14:paraId="0B4E8781" w14:textId="77777777" w:rsidR="00D45189" w:rsidRPr="006C6318" w:rsidRDefault="00D45189" w:rsidP="006C6318">
      <w:pPr>
        <w:spacing w:after="160" w:line="276" w:lineRule="auto"/>
        <w:jc w:val="both"/>
        <w:rPr>
          <w:rFonts w:asciiTheme="minorHAnsi" w:eastAsiaTheme="minorHAnsi" w:hAnsiTheme="minorHAnsi" w:cstheme="minorHAnsi"/>
          <w:sz w:val="20"/>
          <w:szCs w:val="20"/>
          <w:lang w:eastAsia="en-US"/>
        </w:rPr>
      </w:pPr>
      <w:r w:rsidRPr="006C6318">
        <w:rPr>
          <w:rFonts w:asciiTheme="minorHAnsi" w:eastAsiaTheme="minorHAnsi" w:hAnsiTheme="minorHAnsi" w:cstheme="minorHAnsi"/>
          <w:sz w:val="20"/>
          <w:szCs w:val="20"/>
          <w:lang w:eastAsia="en-US"/>
        </w:rPr>
        <w:t xml:space="preserve">3.2.4 Končna ugotovitev: »Subjekt, katerega dejavnost je povezana z raziskovanjem in izobraževanjem, se lahko kvalificira kot »organizacija za raziskovanje in širjenje znanja« v Uredbi Komisije (EU) št. 651/2014 (17. junij 2014) o razglasitvi nekaterih vrst pomoči za združljive z notranjim trgom z uporabo členov 107 in 108 [PDEU] v smislu člena 2(83), </w:t>
      </w:r>
      <w:r w:rsidRPr="006C6318">
        <w:rPr>
          <w:rFonts w:asciiTheme="minorHAnsi" w:eastAsiaTheme="minorHAnsi" w:hAnsiTheme="minorHAnsi" w:cstheme="minorHAnsi"/>
          <w:sz w:val="20"/>
          <w:szCs w:val="20"/>
          <w:u w:val="single"/>
          <w:lang w:eastAsia="en-US"/>
        </w:rPr>
        <w:t>če je ena od njegovih glavnih dejavnosti neodvisno raziskovanje, ki je vsaj delno negospodarske narave</w:t>
      </w:r>
      <w:r w:rsidRPr="006C6318">
        <w:rPr>
          <w:rFonts w:asciiTheme="minorHAnsi" w:eastAsiaTheme="minorHAnsi" w:hAnsiTheme="minorHAnsi" w:cstheme="minorHAnsi"/>
          <w:sz w:val="20"/>
          <w:szCs w:val="20"/>
          <w:lang w:eastAsia="en-US"/>
        </w:rPr>
        <w:t>, tudi če so nekatere njegove dejavnosti gospodarske dejavnosti ali z drugimi besedami, četudi del svojih prihodkov pridobi z opravljanjem storitev za plačilo.</w:t>
      </w:r>
      <w:r w:rsidRPr="006C6318">
        <w:rPr>
          <w:rFonts w:asciiTheme="minorHAnsi" w:eastAsiaTheme="minorHAnsi" w:hAnsiTheme="minorHAnsi" w:cstheme="minorHAnsi"/>
          <w:sz w:val="20"/>
          <w:szCs w:val="20"/>
          <w:vertAlign w:val="superscript"/>
          <w:lang w:eastAsia="en-US"/>
        </w:rPr>
        <w:footnoteReference w:id="5"/>
      </w:r>
      <w:r w:rsidRPr="006C6318">
        <w:rPr>
          <w:rFonts w:asciiTheme="minorHAnsi" w:eastAsiaTheme="minorHAnsi" w:hAnsiTheme="minorHAnsi" w:cstheme="minorHAnsi"/>
          <w:sz w:val="20"/>
          <w:szCs w:val="20"/>
          <w:lang w:eastAsia="en-US"/>
        </w:rPr>
        <w:t>"</w:t>
      </w:r>
    </w:p>
    <w:p w14:paraId="5EB10C72" w14:textId="77777777" w:rsidR="00D45189" w:rsidRPr="006C6318" w:rsidRDefault="00D45189" w:rsidP="006C6318">
      <w:pPr>
        <w:spacing w:after="160" w:line="276" w:lineRule="auto"/>
        <w:jc w:val="both"/>
        <w:rPr>
          <w:rFonts w:asciiTheme="minorHAnsi" w:eastAsiaTheme="minorHAnsi" w:hAnsiTheme="minorHAnsi" w:cstheme="minorHAnsi"/>
          <w:b/>
          <w:sz w:val="20"/>
          <w:szCs w:val="20"/>
          <w:lang w:eastAsia="en-US"/>
        </w:rPr>
      </w:pPr>
      <w:r w:rsidRPr="006C6318">
        <w:rPr>
          <w:rFonts w:asciiTheme="minorHAnsi" w:eastAsiaTheme="minorHAnsi" w:hAnsiTheme="minorHAnsi" w:cstheme="minorHAnsi"/>
          <w:b/>
          <w:sz w:val="20"/>
          <w:szCs w:val="20"/>
          <w:lang w:eastAsia="en-US"/>
        </w:rPr>
        <w:t>II. OCENA SKLADNOSTI Z DEFINICIJO ORGANIZACIJE ZA RAZISKOVANJE IN ŠIRJENJE ZNANJA</w:t>
      </w:r>
    </w:p>
    <w:p w14:paraId="49374E2D" w14:textId="77777777" w:rsidR="00D45189" w:rsidRPr="006C6318" w:rsidRDefault="00D45189" w:rsidP="006C6318">
      <w:pPr>
        <w:spacing w:after="160" w:line="276" w:lineRule="auto"/>
        <w:jc w:val="both"/>
        <w:rPr>
          <w:rFonts w:asciiTheme="minorHAnsi" w:eastAsiaTheme="minorHAnsi" w:hAnsiTheme="minorHAnsi" w:cstheme="minorHAnsi"/>
          <w:sz w:val="20"/>
          <w:szCs w:val="20"/>
          <w:lang w:eastAsia="en-US"/>
        </w:rPr>
      </w:pPr>
      <w:r w:rsidRPr="006C6318">
        <w:rPr>
          <w:rFonts w:asciiTheme="minorHAnsi" w:eastAsiaTheme="minorHAnsi" w:hAnsiTheme="minorHAnsi" w:cstheme="minorHAnsi"/>
          <w:sz w:val="20"/>
          <w:szCs w:val="20"/>
          <w:lang w:eastAsia="en-US"/>
        </w:rPr>
        <w:t>4. Skladnost z definicijo organizacije za raziskovanje in širjenje znanja se ugotavlja ob upoštevanju informacij o skladnosti subjekta z naslednjimi vidiki, ki so navedeni v Izjavi o opredelitvi kot organizacija za raziskave in širjenje znanja iz Priloge te metodologije (v nadaljevanju</w:t>
      </w:r>
      <w:r w:rsidRPr="00B6355A">
        <w:rPr>
          <w:rFonts w:asciiTheme="minorHAnsi" w:hAnsiTheme="minorHAnsi" w:cstheme="minorHAnsi"/>
          <w:sz w:val="20"/>
          <w:szCs w:val="20"/>
        </w:rPr>
        <w:t xml:space="preserve"> </w:t>
      </w:r>
      <w:r w:rsidRPr="006C6318">
        <w:rPr>
          <w:rFonts w:asciiTheme="minorHAnsi" w:eastAsiaTheme="minorHAnsi" w:hAnsiTheme="minorHAnsi" w:cstheme="minorHAnsi"/>
          <w:sz w:val="20"/>
          <w:szCs w:val="20"/>
          <w:lang w:eastAsia="en-US"/>
        </w:rPr>
        <w:t xml:space="preserve">te priloge:: </w:t>
      </w:r>
      <w:r w:rsidRPr="006C6318">
        <w:rPr>
          <w:rFonts w:asciiTheme="minorHAnsi" w:eastAsiaTheme="minorHAnsi" w:hAnsiTheme="minorHAnsi" w:cstheme="minorHAnsi"/>
          <w:b/>
          <w:sz w:val="20"/>
          <w:szCs w:val="20"/>
          <w:lang w:eastAsia="en-US"/>
        </w:rPr>
        <w:t>Samoopredelitev</w:t>
      </w:r>
      <w:r w:rsidRPr="006C6318">
        <w:rPr>
          <w:rFonts w:asciiTheme="minorHAnsi" w:eastAsiaTheme="minorHAnsi" w:hAnsiTheme="minorHAnsi" w:cstheme="minorHAnsi"/>
          <w:sz w:val="20"/>
          <w:szCs w:val="20"/>
          <w:lang w:eastAsia="en-US"/>
        </w:rPr>
        <w:t>):</w:t>
      </w:r>
    </w:p>
    <w:p w14:paraId="69BEE93D" w14:textId="77777777" w:rsidR="00D45189" w:rsidRPr="006C6318" w:rsidRDefault="00D45189" w:rsidP="006C6318">
      <w:pPr>
        <w:spacing w:after="160" w:line="276" w:lineRule="auto"/>
        <w:jc w:val="both"/>
        <w:rPr>
          <w:rFonts w:asciiTheme="minorHAnsi" w:eastAsiaTheme="minorHAnsi" w:hAnsiTheme="minorHAnsi" w:cstheme="minorHAnsi"/>
          <w:sz w:val="20"/>
          <w:szCs w:val="20"/>
          <w:lang w:eastAsia="en-US"/>
        </w:rPr>
      </w:pPr>
      <w:r w:rsidRPr="006C6318">
        <w:rPr>
          <w:rFonts w:asciiTheme="minorHAnsi" w:eastAsiaTheme="minorHAnsi" w:hAnsiTheme="minorHAnsi" w:cstheme="minorHAnsi"/>
          <w:sz w:val="20"/>
          <w:szCs w:val="20"/>
          <w:lang w:eastAsia="en-US"/>
        </w:rPr>
        <w:t>4.1. Ali je glavni cilj ali osnovna dejavnost subjekta:</w:t>
      </w:r>
    </w:p>
    <w:p w14:paraId="5C06C1A5" w14:textId="77777777" w:rsidR="00D45189" w:rsidRPr="006C6318" w:rsidRDefault="00D45189" w:rsidP="006C6318">
      <w:pPr>
        <w:spacing w:after="160" w:line="276" w:lineRule="auto"/>
        <w:ind w:firstLine="708"/>
        <w:jc w:val="both"/>
        <w:rPr>
          <w:rFonts w:asciiTheme="minorHAnsi" w:eastAsiaTheme="minorHAnsi" w:hAnsiTheme="minorHAnsi" w:cstheme="minorHAnsi"/>
          <w:sz w:val="20"/>
          <w:szCs w:val="20"/>
          <w:lang w:eastAsia="en-US"/>
        </w:rPr>
      </w:pPr>
      <w:r w:rsidRPr="006C6318">
        <w:rPr>
          <w:rFonts w:asciiTheme="minorHAnsi" w:eastAsiaTheme="minorHAnsi" w:hAnsiTheme="minorHAnsi" w:cstheme="minorHAnsi"/>
          <w:sz w:val="20"/>
          <w:szCs w:val="20"/>
          <w:lang w:eastAsia="en-US"/>
        </w:rPr>
        <w:t>a) neodvisna izvedba temeljnih raziskav, industrijskih raziskav ali eksperimentalnega razvoja (v nadaljevanju</w:t>
      </w:r>
      <w:r w:rsidRPr="00B6355A">
        <w:rPr>
          <w:rFonts w:asciiTheme="minorHAnsi" w:hAnsiTheme="minorHAnsi" w:cstheme="minorHAnsi"/>
          <w:sz w:val="20"/>
          <w:szCs w:val="20"/>
        </w:rPr>
        <w:t xml:space="preserve"> </w:t>
      </w:r>
      <w:r w:rsidRPr="006C6318">
        <w:rPr>
          <w:rFonts w:asciiTheme="minorHAnsi" w:eastAsiaTheme="minorHAnsi" w:hAnsiTheme="minorHAnsi" w:cstheme="minorHAnsi"/>
          <w:sz w:val="20"/>
          <w:szCs w:val="20"/>
          <w:lang w:eastAsia="en-US"/>
        </w:rPr>
        <w:t xml:space="preserve">te priloge:: </w:t>
      </w:r>
      <w:r w:rsidRPr="006C6318">
        <w:rPr>
          <w:rFonts w:asciiTheme="minorHAnsi" w:eastAsiaTheme="minorHAnsi" w:hAnsiTheme="minorHAnsi" w:cstheme="minorHAnsi"/>
          <w:b/>
          <w:sz w:val="20"/>
          <w:szCs w:val="20"/>
          <w:lang w:eastAsia="en-US"/>
        </w:rPr>
        <w:t>Neodvisno raziskovanje</w:t>
      </w:r>
      <w:r w:rsidRPr="006C6318">
        <w:rPr>
          <w:rFonts w:asciiTheme="minorHAnsi" w:eastAsiaTheme="minorHAnsi" w:hAnsiTheme="minorHAnsi" w:cstheme="minorHAnsi"/>
          <w:sz w:val="20"/>
          <w:szCs w:val="20"/>
          <w:lang w:eastAsia="en-US"/>
        </w:rPr>
        <w:t>) ali</w:t>
      </w:r>
    </w:p>
    <w:p w14:paraId="0A3FB3C8" w14:textId="77777777" w:rsidR="00D45189" w:rsidRPr="006C6318" w:rsidRDefault="00D45189" w:rsidP="006C6318">
      <w:pPr>
        <w:spacing w:after="160" w:line="276" w:lineRule="auto"/>
        <w:ind w:firstLine="708"/>
        <w:jc w:val="both"/>
        <w:rPr>
          <w:rFonts w:asciiTheme="minorHAnsi" w:eastAsiaTheme="minorHAnsi" w:hAnsiTheme="minorHAnsi" w:cstheme="minorHAnsi"/>
          <w:sz w:val="20"/>
          <w:szCs w:val="20"/>
          <w:lang w:eastAsia="en-US"/>
        </w:rPr>
      </w:pPr>
      <w:r w:rsidRPr="006C6318">
        <w:rPr>
          <w:rFonts w:asciiTheme="minorHAnsi" w:eastAsiaTheme="minorHAnsi" w:hAnsiTheme="minorHAnsi" w:cstheme="minorHAnsi"/>
          <w:sz w:val="20"/>
          <w:szCs w:val="20"/>
          <w:lang w:eastAsia="en-US"/>
        </w:rPr>
        <w:t>b) obsežno razširjanje rezultatov Neodvisnega raziskovanja prek izobraževanja, objav ali prenosa znanja</w:t>
      </w:r>
      <w:r w:rsidRPr="006C6318">
        <w:rPr>
          <w:rFonts w:asciiTheme="minorHAnsi" w:eastAsiaTheme="minorHAnsi" w:hAnsiTheme="minorHAnsi" w:cstheme="minorHAnsi"/>
          <w:sz w:val="20"/>
          <w:szCs w:val="20"/>
          <w:vertAlign w:val="superscript"/>
          <w:lang w:eastAsia="en-US"/>
        </w:rPr>
        <w:footnoteReference w:id="6"/>
      </w:r>
      <w:r w:rsidRPr="006C6318">
        <w:rPr>
          <w:rFonts w:asciiTheme="minorHAnsi" w:eastAsiaTheme="minorHAnsi" w:hAnsiTheme="minorHAnsi" w:cstheme="minorHAnsi"/>
          <w:sz w:val="20"/>
          <w:szCs w:val="20"/>
          <w:lang w:eastAsia="en-US"/>
        </w:rPr>
        <w:t xml:space="preserve"> (v nadaljevanju</w:t>
      </w:r>
      <w:r w:rsidRPr="00B6355A">
        <w:rPr>
          <w:rFonts w:asciiTheme="minorHAnsi" w:hAnsiTheme="minorHAnsi" w:cstheme="minorHAnsi"/>
          <w:sz w:val="20"/>
          <w:szCs w:val="20"/>
        </w:rPr>
        <w:t xml:space="preserve"> </w:t>
      </w:r>
      <w:r w:rsidRPr="006C6318">
        <w:rPr>
          <w:rFonts w:asciiTheme="minorHAnsi" w:eastAsiaTheme="minorHAnsi" w:hAnsiTheme="minorHAnsi" w:cstheme="minorHAnsi"/>
          <w:sz w:val="20"/>
          <w:szCs w:val="20"/>
          <w:lang w:eastAsia="en-US"/>
        </w:rPr>
        <w:t xml:space="preserve">te priloge:: </w:t>
      </w:r>
      <w:r w:rsidRPr="006C6318">
        <w:rPr>
          <w:rFonts w:asciiTheme="minorHAnsi" w:eastAsiaTheme="minorHAnsi" w:hAnsiTheme="minorHAnsi" w:cstheme="minorHAnsi"/>
          <w:b/>
          <w:sz w:val="20"/>
          <w:szCs w:val="20"/>
          <w:lang w:eastAsia="en-US"/>
        </w:rPr>
        <w:t>Širjenje znanja</w:t>
      </w:r>
      <w:r w:rsidRPr="006C6318">
        <w:rPr>
          <w:rFonts w:asciiTheme="minorHAnsi" w:eastAsiaTheme="minorHAnsi" w:hAnsiTheme="minorHAnsi" w:cstheme="minorHAnsi"/>
          <w:sz w:val="20"/>
          <w:szCs w:val="20"/>
          <w:lang w:eastAsia="en-US"/>
        </w:rPr>
        <w:t>).</w:t>
      </w:r>
    </w:p>
    <w:p w14:paraId="48E0B528" w14:textId="77777777" w:rsidR="00D45189" w:rsidRPr="006C6318" w:rsidRDefault="00D45189" w:rsidP="006C6318">
      <w:pPr>
        <w:spacing w:after="160" w:line="276" w:lineRule="auto"/>
        <w:jc w:val="both"/>
        <w:rPr>
          <w:rFonts w:asciiTheme="minorHAnsi" w:eastAsiaTheme="minorHAnsi" w:hAnsiTheme="minorHAnsi" w:cstheme="minorHAnsi"/>
          <w:sz w:val="20"/>
          <w:szCs w:val="20"/>
          <w:lang w:eastAsia="en-US"/>
        </w:rPr>
      </w:pPr>
      <w:r w:rsidRPr="006C6318">
        <w:rPr>
          <w:rFonts w:asciiTheme="minorHAnsi" w:eastAsiaTheme="minorHAnsi" w:hAnsiTheme="minorHAnsi" w:cstheme="minorHAnsi"/>
          <w:sz w:val="20"/>
          <w:szCs w:val="20"/>
          <w:lang w:eastAsia="en-US"/>
        </w:rPr>
        <w:t>4.2. Če tak subjekt opravlja tudi gospodarsko dejavnost, ali so financiranje, stroški in prihodki navedenih gospodarskih dejavnosti knjiženi ločeno.</w:t>
      </w:r>
    </w:p>
    <w:p w14:paraId="6F928D87" w14:textId="77777777" w:rsidR="00D45189" w:rsidRPr="006C6318" w:rsidRDefault="00D45189" w:rsidP="006C6318">
      <w:pPr>
        <w:spacing w:after="160" w:line="276" w:lineRule="auto"/>
        <w:jc w:val="both"/>
        <w:rPr>
          <w:rFonts w:asciiTheme="minorHAnsi" w:eastAsiaTheme="minorHAnsi" w:hAnsiTheme="minorHAnsi" w:cstheme="minorHAnsi"/>
          <w:sz w:val="20"/>
          <w:szCs w:val="20"/>
          <w:lang w:eastAsia="en-US"/>
        </w:rPr>
      </w:pPr>
      <w:r w:rsidRPr="006C6318">
        <w:rPr>
          <w:rFonts w:asciiTheme="minorHAnsi" w:eastAsiaTheme="minorHAnsi" w:hAnsiTheme="minorHAnsi" w:cstheme="minorHAnsi"/>
          <w:sz w:val="20"/>
          <w:szCs w:val="20"/>
          <w:lang w:eastAsia="en-US"/>
        </w:rPr>
        <w:t>4.3 Ali so podjetja, ki imajo lahko odločilen vpliv na tak subjekt, npr. v vlogi delničarjev ali članov, brez prednostnega dostopa do rezultatov raziskav, ki jih je subjekt izvedel.</w:t>
      </w:r>
    </w:p>
    <w:p w14:paraId="644C779D" w14:textId="77777777" w:rsidR="00D45189" w:rsidRPr="006C6318" w:rsidRDefault="00D45189" w:rsidP="006C6318">
      <w:pPr>
        <w:spacing w:after="160" w:line="276" w:lineRule="auto"/>
        <w:jc w:val="both"/>
        <w:rPr>
          <w:rFonts w:asciiTheme="minorHAnsi" w:eastAsiaTheme="minorHAnsi" w:hAnsiTheme="minorHAnsi" w:cstheme="minorHAnsi"/>
          <w:sz w:val="20"/>
          <w:szCs w:val="20"/>
          <w:lang w:eastAsia="en-US"/>
        </w:rPr>
      </w:pPr>
      <w:r w:rsidRPr="006C6318">
        <w:rPr>
          <w:rFonts w:asciiTheme="minorHAnsi" w:eastAsiaTheme="minorHAnsi" w:hAnsiTheme="minorHAnsi" w:cstheme="minorHAnsi"/>
          <w:sz w:val="20"/>
          <w:szCs w:val="20"/>
          <w:lang w:eastAsia="en-US"/>
        </w:rPr>
        <w:lastRenderedPageBreak/>
        <w:t>5. Skladnost po 4. točki metodologije se ocenjuje za zadnja tri koledarska leta, pri čemer se upošteva:</w:t>
      </w:r>
    </w:p>
    <w:p w14:paraId="6495C0BD" w14:textId="77777777" w:rsidR="00D45189" w:rsidRPr="006C6318" w:rsidRDefault="00D45189" w:rsidP="006C6318">
      <w:pPr>
        <w:spacing w:after="160" w:line="276" w:lineRule="auto"/>
        <w:jc w:val="both"/>
        <w:rPr>
          <w:rFonts w:asciiTheme="minorHAnsi" w:eastAsiaTheme="minorHAnsi" w:hAnsiTheme="minorHAnsi" w:cstheme="minorHAnsi"/>
          <w:sz w:val="20"/>
          <w:szCs w:val="20"/>
          <w:lang w:eastAsia="en-US"/>
        </w:rPr>
      </w:pPr>
      <w:r w:rsidRPr="006C6318">
        <w:rPr>
          <w:rFonts w:asciiTheme="minorHAnsi" w:eastAsiaTheme="minorHAnsi" w:hAnsiTheme="minorHAnsi" w:cstheme="minorHAnsi"/>
          <w:sz w:val="20"/>
          <w:szCs w:val="20"/>
          <w:lang w:eastAsia="en-US"/>
        </w:rPr>
        <w:t>5.1. preteklo leto se ne šteje, če se pregledovanje pogojev zaključi do 31. marca tekočega leta;</w:t>
      </w:r>
    </w:p>
    <w:p w14:paraId="600FF26B" w14:textId="77777777" w:rsidR="00D45189" w:rsidRPr="006C6318" w:rsidRDefault="00D45189" w:rsidP="006C6318">
      <w:pPr>
        <w:spacing w:after="160" w:line="276" w:lineRule="auto"/>
        <w:jc w:val="both"/>
        <w:rPr>
          <w:rFonts w:asciiTheme="minorHAnsi" w:eastAsiaTheme="minorHAnsi" w:hAnsiTheme="minorHAnsi" w:cstheme="minorHAnsi"/>
          <w:sz w:val="20"/>
          <w:szCs w:val="20"/>
          <w:lang w:eastAsia="en-US"/>
        </w:rPr>
      </w:pPr>
      <w:r w:rsidRPr="006C6318">
        <w:rPr>
          <w:rFonts w:asciiTheme="minorHAnsi" w:eastAsiaTheme="minorHAnsi" w:hAnsiTheme="minorHAnsi" w:cstheme="minorHAnsi"/>
          <w:sz w:val="20"/>
          <w:szCs w:val="20"/>
          <w:lang w:eastAsia="en-US"/>
        </w:rPr>
        <w:t>5.2. preteklo leto se šteje, če se pregledovanje pogojev zaključi od 1. aprila tekočega leta.</w:t>
      </w:r>
    </w:p>
    <w:p w14:paraId="5ED3D1F4" w14:textId="77777777" w:rsidR="00D45189" w:rsidRPr="006C6318" w:rsidRDefault="00D45189" w:rsidP="006C6318">
      <w:pPr>
        <w:spacing w:after="160" w:line="276" w:lineRule="auto"/>
        <w:ind w:firstLine="708"/>
        <w:jc w:val="both"/>
        <w:rPr>
          <w:rFonts w:asciiTheme="minorHAnsi" w:eastAsiaTheme="minorHAnsi" w:hAnsiTheme="minorHAnsi" w:cstheme="minorHAnsi"/>
          <w:sz w:val="20"/>
          <w:szCs w:val="20"/>
          <w:lang w:eastAsia="en-US"/>
        </w:rPr>
      </w:pPr>
      <w:r w:rsidRPr="006C6318">
        <w:rPr>
          <w:rFonts w:asciiTheme="minorHAnsi" w:eastAsiaTheme="minorHAnsi" w:hAnsiTheme="minorHAnsi" w:cstheme="minorHAnsi"/>
          <w:sz w:val="20"/>
          <w:szCs w:val="20"/>
          <w:u w:val="single"/>
          <w:lang w:eastAsia="en-US"/>
        </w:rPr>
        <w:t>Na primer:</w:t>
      </w:r>
      <w:r w:rsidRPr="006C6318">
        <w:rPr>
          <w:rFonts w:asciiTheme="minorHAnsi" w:eastAsiaTheme="minorHAnsi" w:hAnsiTheme="minorHAnsi" w:cstheme="minorHAnsi"/>
          <w:sz w:val="20"/>
          <w:szCs w:val="20"/>
          <w:lang w:eastAsia="en-US"/>
        </w:rPr>
        <w:t xml:space="preserve"> če se postopek pregledovanja pogojev konča marca 2025, so zadnja 3 leta 2021, 2022 in 2023; če se postopek pregledovanja pogojev začne 1. aprila 2025, potem so zadnja 3 leta 2022, 2023 in 2024.</w:t>
      </w:r>
    </w:p>
    <w:p w14:paraId="7F2A6ABC" w14:textId="77777777" w:rsidR="00D45189" w:rsidRPr="006C6318" w:rsidRDefault="00D45189" w:rsidP="006C6318">
      <w:pPr>
        <w:spacing w:after="160" w:line="276" w:lineRule="auto"/>
        <w:ind w:firstLine="708"/>
        <w:jc w:val="both"/>
        <w:rPr>
          <w:rFonts w:asciiTheme="minorHAnsi" w:eastAsiaTheme="minorHAnsi" w:hAnsiTheme="minorHAnsi" w:cstheme="minorHAnsi"/>
          <w:sz w:val="20"/>
          <w:szCs w:val="20"/>
          <w:lang w:eastAsia="en-US"/>
        </w:rPr>
      </w:pPr>
      <w:r w:rsidRPr="006C6318">
        <w:rPr>
          <w:rFonts w:asciiTheme="minorHAnsi" w:eastAsiaTheme="minorHAnsi" w:hAnsiTheme="minorHAnsi" w:cstheme="minorHAnsi"/>
          <w:sz w:val="20"/>
          <w:szCs w:val="20"/>
          <w:u w:val="single"/>
          <w:lang w:eastAsia="en-US"/>
        </w:rPr>
        <w:t>Obrazložitev:</w:t>
      </w:r>
      <w:r w:rsidRPr="006C6318">
        <w:rPr>
          <w:rFonts w:asciiTheme="minorHAnsi" w:eastAsiaTheme="minorHAnsi" w:hAnsiTheme="minorHAnsi" w:cstheme="minorHAnsi"/>
          <w:sz w:val="20"/>
          <w:szCs w:val="20"/>
          <w:lang w:eastAsia="en-US"/>
        </w:rPr>
        <w:t xml:space="preserve"> Subjekti kot so univerze ali raziskovalni inštituti, agencije za prenos tehnologije, posredniki za inovacije ali v raziskave usmerjeni fizični ali virtualni skupni subjekti, organizirani po javnem ali zasebnem pravu skladno z Zakonom o računovodstvu</w:t>
      </w:r>
      <w:r w:rsidRPr="006C6318">
        <w:rPr>
          <w:rFonts w:asciiTheme="minorHAnsi" w:eastAsiaTheme="minorHAnsi" w:hAnsiTheme="minorHAnsi" w:cstheme="minorHAnsi"/>
          <w:sz w:val="20"/>
          <w:szCs w:val="20"/>
          <w:vertAlign w:val="superscript"/>
          <w:lang w:eastAsia="en-US"/>
        </w:rPr>
        <w:footnoteReference w:id="7"/>
      </w:r>
      <w:r w:rsidRPr="006C6318">
        <w:rPr>
          <w:rFonts w:asciiTheme="minorHAnsi" w:eastAsiaTheme="minorHAnsi" w:hAnsiTheme="minorHAnsi" w:cstheme="minorHAnsi"/>
          <w:sz w:val="20"/>
          <w:szCs w:val="20"/>
          <w:lang w:eastAsia="en-US"/>
        </w:rPr>
        <w:t>, Zakonom o plačilnem prometu</w:t>
      </w:r>
      <w:r w:rsidRPr="006C6318">
        <w:rPr>
          <w:rFonts w:asciiTheme="minorHAnsi" w:eastAsiaTheme="minorHAnsi" w:hAnsiTheme="minorHAnsi" w:cstheme="minorHAnsi"/>
          <w:sz w:val="20"/>
          <w:szCs w:val="20"/>
          <w:vertAlign w:val="superscript"/>
          <w:lang w:eastAsia="en-US"/>
        </w:rPr>
        <w:footnoteReference w:id="8"/>
      </w:r>
      <w:r w:rsidRPr="006C6318">
        <w:rPr>
          <w:rFonts w:asciiTheme="minorHAnsi" w:eastAsiaTheme="minorHAnsi" w:hAnsiTheme="minorHAnsi" w:cstheme="minorHAnsi"/>
          <w:sz w:val="20"/>
          <w:szCs w:val="20"/>
          <w:lang w:eastAsia="en-US"/>
        </w:rPr>
        <w:t xml:space="preserve"> in drugimi predpisi do 31. marca 2024 pripravijo in oddajo končne verzije dokumentacije za letna in druga poročila vključno z izkazi prihodkov, odhodkov določenih uporabnikov po vrstah dejavnosti Agenciji Republike Slovenije za javnopravne evidence in storitve (v nadaljevanju</w:t>
      </w:r>
      <w:r w:rsidRPr="00B6355A">
        <w:rPr>
          <w:rFonts w:asciiTheme="minorHAnsi" w:hAnsiTheme="minorHAnsi" w:cstheme="minorHAnsi"/>
          <w:sz w:val="20"/>
          <w:szCs w:val="20"/>
        </w:rPr>
        <w:t xml:space="preserve"> </w:t>
      </w:r>
      <w:r w:rsidRPr="006C6318">
        <w:rPr>
          <w:rFonts w:asciiTheme="minorHAnsi" w:eastAsiaTheme="minorHAnsi" w:hAnsiTheme="minorHAnsi" w:cstheme="minorHAnsi"/>
          <w:sz w:val="20"/>
          <w:szCs w:val="20"/>
          <w:lang w:eastAsia="en-US"/>
        </w:rPr>
        <w:t xml:space="preserve">te priloge:: </w:t>
      </w:r>
      <w:r w:rsidRPr="006C6318">
        <w:rPr>
          <w:rFonts w:asciiTheme="minorHAnsi" w:eastAsiaTheme="minorHAnsi" w:hAnsiTheme="minorHAnsi" w:cstheme="minorHAnsi"/>
          <w:b/>
          <w:sz w:val="20"/>
          <w:szCs w:val="20"/>
          <w:lang w:eastAsia="en-US"/>
        </w:rPr>
        <w:t>AJPES</w:t>
      </w:r>
      <w:r w:rsidRPr="006C6318">
        <w:rPr>
          <w:rFonts w:asciiTheme="minorHAnsi" w:eastAsiaTheme="minorHAnsi" w:hAnsiTheme="minorHAnsi" w:cstheme="minorHAnsi"/>
          <w:sz w:val="20"/>
          <w:szCs w:val="20"/>
          <w:lang w:eastAsia="en-US"/>
        </w:rPr>
        <w:t xml:space="preserve"> - </w:t>
      </w:r>
      <w:hyperlink r:id="rId7" w:history="1">
        <w:r w:rsidRPr="006C6318">
          <w:rPr>
            <w:rFonts w:asciiTheme="minorHAnsi" w:eastAsiaTheme="minorHAnsi" w:hAnsiTheme="minorHAnsi" w:cstheme="minorHAnsi"/>
            <w:color w:val="0000FF"/>
            <w:sz w:val="20"/>
            <w:szCs w:val="20"/>
            <w:u w:val="single"/>
            <w:lang w:eastAsia="en-US"/>
          </w:rPr>
          <w:t>https://www.ajpes.si/</w:t>
        </w:r>
      </w:hyperlink>
      <w:r w:rsidRPr="006C6318">
        <w:rPr>
          <w:rFonts w:asciiTheme="minorHAnsi" w:eastAsiaTheme="minorHAnsi" w:hAnsiTheme="minorHAnsi" w:cstheme="minorHAnsi"/>
          <w:sz w:val="20"/>
          <w:szCs w:val="20"/>
          <w:lang w:eastAsia="en-US"/>
        </w:rPr>
        <w:t>), zato od 31. marca tekočega leta razpolagajo s podatki za preteklo leto.</w:t>
      </w:r>
    </w:p>
    <w:p w14:paraId="194D9A1F" w14:textId="77777777" w:rsidR="00D45189" w:rsidRPr="006C6318" w:rsidRDefault="00D45189" w:rsidP="006C6318">
      <w:pPr>
        <w:spacing w:after="160" w:line="276" w:lineRule="auto"/>
        <w:jc w:val="both"/>
        <w:rPr>
          <w:rFonts w:asciiTheme="minorHAnsi" w:eastAsiaTheme="minorHAnsi" w:hAnsiTheme="minorHAnsi" w:cstheme="minorHAnsi"/>
          <w:sz w:val="20"/>
          <w:szCs w:val="20"/>
          <w:lang w:eastAsia="en-US"/>
        </w:rPr>
      </w:pPr>
      <w:r w:rsidRPr="006C6318">
        <w:rPr>
          <w:rFonts w:asciiTheme="minorHAnsi" w:eastAsiaTheme="minorHAnsi" w:hAnsiTheme="minorHAnsi" w:cstheme="minorHAnsi"/>
          <w:sz w:val="20"/>
          <w:szCs w:val="20"/>
          <w:lang w:eastAsia="en-US"/>
        </w:rPr>
        <w:t>5.3. če subjekt, ki je bil ustanovljen v koledarskem letu, v katerem se izvaja ugotavljanje skladnosti po metodologiji, in ni dejanskih dokazov, da subjekt izvaja Neodvisno raziskovanje ali Širjenje znanja, se preverja informacije, ki jih posreduje subjekt v skladu s točkami 1, 2, 3 in 4 Metodologije;</w:t>
      </w:r>
    </w:p>
    <w:p w14:paraId="511E596C" w14:textId="77777777" w:rsidR="00D45189" w:rsidRPr="006C6318" w:rsidRDefault="00D45189" w:rsidP="006C6318">
      <w:pPr>
        <w:spacing w:after="160" w:line="276" w:lineRule="auto"/>
        <w:jc w:val="both"/>
        <w:rPr>
          <w:rFonts w:asciiTheme="minorHAnsi" w:eastAsiaTheme="minorHAnsi" w:hAnsiTheme="minorHAnsi" w:cstheme="minorHAnsi"/>
          <w:sz w:val="20"/>
          <w:szCs w:val="20"/>
          <w:lang w:eastAsia="en-US"/>
        </w:rPr>
      </w:pPr>
      <w:r w:rsidRPr="006C6318">
        <w:rPr>
          <w:rFonts w:asciiTheme="minorHAnsi" w:eastAsiaTheme="minorHAnsi" w:hAnsiTheme="minorHAnsi" w:cstheme="minorHAnsi"/>
          <w:sz w:val="20"/>
          <w:szCs w:val="20"/>
          <w:lang w:eastAsia="en-US"/>
        </w:rPr>
        <w:t>5.4. če je obdobje poslovanja subjekta krajše od obdobja, določenega v 5. točki Metodologije, se skladnost z vidiki, določenimi v 4. točki metodologije, presoja za njegovo obdobje poslovanja od dneva ustanovitve do koledarskega leta, v katerem se izvaja ugotavljanje skladnosti po Metodologiji.</w:t>
      </w:r>
    </w:p>
    <w:p w14:paraId="14596CFD" w14:textId="77777777" w:rsidR="00D45189" w:rsidRPr="006C6318" w:rsidRDefault="00D45189" w:rsidP="006C6318">
      <w:pPr>
        <w:spacing w:after="160" w:line="276" w:lineRule="auto"/>
        <w:jc w:val="both"/>
        <w:rPr>
          <w:rFonts w:asciiTheme="minorHAnsi" w:eastAsiaTheme="minorHAnsi" w:hAnsiTheme="minorHAnsi" w:cstheme="minorHAnsi"/>
          <w:b/>
          <w:sz w:val="20"/>
          <w:szCs w:val="20"/>
          <w:lang w:eastAsia="en-US"/>
        </w:rPr>
      </w:pPr>
      <w:r w:rsidRPr="006C6318">
        <w:rPr>
          <w:rFonts w:asciiTheme="minorHAnsi" w:eastAsiaTheme="minorHAnsi" w:hAnsiTheme="minorHAnsi" w:cstheme="minorHAnsi"/>
          <w:b/>
          <w:sz w:val="20"/>
          <w:szCs w:val="20"/>
          <w:lang w:eastAsia="en-US"/>
        </w:rPr>
        <w:t>III. PREVERJANJE GLAVNEGA CILJA ALI OSNOVNE DEJAVNOSTI SUBJEKTA</w:t>
      </w:r>
    </w:p>
    <w:p w14:paraId="45B6D6D7" w14:textId="189F0A63" w:rsidR="00D45189" w:rsidRPr="006C6318" w:rsidRDefault="00D45189" w:rsidP="006C6318">
      <w:pPr>
        <w:spacing w:after="160" w:line="276" w:lineRule="auto"/>
        <w:jc w:val="both"/>
        <w:rPr>
          <w:rFonts w:asciiTheme="minorHAnsi" w:eastAsiaTheme="minorHAnsi" w:hAnsiTheme="minorHAnsi" w:cstheme="minorHAnsi"/>
          <w:sz w:val="20"/>
          <w:szCs w:val="20"/>
          <w:lang w:eastAsia="en-US"/>
        </w:rPr>
      </w:pPr>
      <w:r w:rsidRPr="006C6318">
        <w:rPr>
          <w:rFonts w:asciiTheme="minorHAnsi" w:eastAsiaTheme="minorHAnsi" w:hAnsiTheme="minorHAnsi" w:cstheme="minorHAnsi"/>
          <w:sz w:val="20"/>
          <w:szCs w:val="20"/>
          <w:lang w:eastAsia="en-US"/>
        </w:rPr>
        <w:t>6. Glavni cilj ali osnovna dejavnost subjekta se po tej Metodologiji preverja le za subjekte, ki imajo v skladu z Zakonom o znanstveno raziskovalni in inovacijski dejavnosti (v nadaljevanju</w:t>
      </w:r>
      <w:r w:rsidRPr="00B6355A">
        <w:rPr>
          <w:rFonts w:asciiTheme="minorHAnsi" w:hAnsiTheme="minorHAnsi" w:cstheme="minorHAnsi"/>
          <w:sz w:val="20"/>
          <w:szCs w:val="20"/>
        </w:rPr>
        <w:t xml:space="preserve"> </w:t>
      </w:r>
      <w:r w:rsidRPr="006C6318">
        <w:rPr>
          <w:rFonts w:asciiTheme="minorHAnsi" w:eastAsiaTheme="minorHAnsi" w:hAnsiTheme="minorHAnsi" w:cstheme="minorHAnsi"/>
          <w:sz w:val="20"/>
          <w:szCs w:val="20"/>
          <w:lang w:eastAsia="en-US"/>
        </w:rPr>
        <w:t xml:space="preserve">te priloge: </w:t>
      </w:r>
      <w:r w:rsidRPr="006C6318">
        <w:rPr>
          <w:rFonts w:asciiTheme="minorHAnsi" w:eastAsiaTheme="minorHAnsi" w:hAnsiTheme="minorHAnsi" w:cstheme="minorHAnsi"/>
          <w:b/>
          <w:sz w:val="20"/>
          <w:szCs w:val="20"/>
          <w:lang w:eastAsia="en-US"/>
        </w:rPr>
        <w:t>ZZRID</w:t>
      </w:r>
      <w:r w:rsidRPr="006C6318">
        <w:rPr>
          <w:rFonts w:asciiTheme="minorHAnsi" w:eastAsiaTheme="minorHAnsi" w:hAnsiTheme="minorHAnsi" w:cstheme="minorHAnsi"/>
          <w:sz w:val="20"/>
          <w:szCs w:val="20"/>
          <w:vertAlign w:val="superscript"/>
          <w:lang w:eastAsia="en-US"/>
        </w:rPr>
        <w:footnoteReference w:id="9"/>
      </w:r>
      <w:r w:rsidRPr="006C6318">
        <w:rPr>
          <w:rFonts w:asciiTheme="minorHAnsi" w:eastAsiaTheme="minorHAnsi" w:hAnsiTheme="minorHAnsi" w:cstheme="minorHAnsi"/>
          <w:sz w:val="20"/>
          <w:szCs w:val="20"/>
          <w:lang w:eastAsia="en-US"/>
        </w:rPr>
        <w:t>) status raziskovalne organizacije in so vpisani v Evidenco izvajalcev raziskovalne in razvojne dejavnosti</w:t>
      </w:r>
      <w:r w:rsidRPr="006C6318">
        <w:rPr>
          <w:rFonts w:asciiTheme="minorHAnsi" w:eastAsiaTheme="minorHAnsi" w:hAnsiTheme="minorHAnsi" w:cstheme="minorHAnsi"/>
          <w:sz w:val="20"/>
          <w:szCs w:val="20"/>
          <w:vertAlign w:val="superscript"/>
          <w:lang w:eastAsia="en-US"/>
        </w:rPr>
        <w:footnoteReference w:id="10"/>
      </w:r>
      <w:r w:rsidRPr="006C6318">
        <w:rPr>
          <w:rFonts w:asciiTheme="minorHAnsi" w:eastAsiaTheme="minorHAnsi" w:hAnsiTheme="minorHAnsi" w:cstheme="minorHAnsi"/>
          <w:sz w:val="20"/>
          <w:szCs w:val="20"/>
          <w:lang w:eastAsia="en-US"/>
        </w:rPr>
        <w:t xml:space="preserve"> (v nadaljevanju</w:t>
      </w:r>
      <w:r w:rsidRPr="00B6355A">
        <w:rPr>
          <w:rFonts w:asciiTheme="minorHAnsi" w:hAnsiTheme="minorHAnsi" w:cstheme="minorHAnsi"/>
          <w:sz w:val="20"/>
          <w:szCs w:val="20"/>
        </w:rPr>
        <w:t xml:space="preserve"> </w:t>
      </w:r>
      <w:r w:rsidRPr="006C6318">
        <w:rPr>
          <w:rFonts w:asciiTheme="minorHAnsi" w:eastAsiaTheme="minorHAnsi" w:hAnsiTheme="minorHAnsi" w:cstheme="minorHAnsi"/>
          <w:sz w:val="20"/>
          <w:szCs w:val="20"/>
          <w:lang w:eastAsia="en-US"/>
        </w:rPr>
        <w:t xml:space="preserve">te priloge:: </w:t>
      </w:r>
      <w:r w:rsidRPr="006C6318">
        <w:rPr>
          <w:rFonts w:asciiTheme="minorHAnsi" w:eastAsiaTheme="minorHAnsi" w:hAnsiTheme="minorHAnsi" w:cstheme="minorHAnsi"/>
          <w:b/>
          <w:sz w:val="20"/>
          <w:szCs w:val="20"/>
          <w:lang w:eastAsia="en-US"/>
        </w:rPr>
        <w:t>Evidenca RO</w:t>
      </w:r>
      <w:r w:rsidRPr="006C6318">
        <w:rPr>
          <w:rFonts w:asciiTheme="minorHAnsi" w:eastAsiaTheme="minorHAnsi" w:hAnsiTheme="minorHAnsi" w:cstheme="minorHAnsi"/>
          <w:sz w:val="20"/>
          <w:szCs w:val="20"/>
          <w:lang w:eastAsia="en-US"/>
        </w:rPr>
        <w:t>), ki je javno dostopna v Informacijskem sistemu o raziskovalni  dejavnosti v Sloveniji (v nadaljevanju</w:t>
      </w:r>
      <w:r w:rsidRPr="006C6318">
        <w:rPr>
          <w:rFonts w:asciiTheme="minorHAnsi" w:hAnsiTheme="minorHAnsi" w:cstheme="minorHAnsi"/>
          <w:sz w:val="20"/>
          <w:szCs w:val="20"/>
        </w:rPr>
        <w:t xml:space="preserve"> </w:t>
      </w:r>
      <w:r w:rsidRPr="006C6318">
        <w:rPr>
          <w:rFonts w:asciiTheme="minorHAnsi" w:eastAsiaTheme="minorHAnsi" w:hAnsiTheme="minorHAnsi" w:cstheme="minorHAnsi"/>
          <w:sz w:val="20"/>
          <w:szCs w:val="20"/>
          <w:lang w:eastAsia="en-US"/>
        </w:rPr>
        <w:t xml:space="preserve">te priloge: </w:t>
      </w:r>
      <w:r w:rsidRPr="006C6318">
        <w:rPr>
          <w:rFonts w:asciiTheme="minorHAnsi" w:eastAsiaTheme="minorHAnsi" w:hAnsiTheme="minorHAnsi" w:cstheme="minorHAnsi"/>
          <w:b/>
          <w:sz w:val="20"/>
          <w:szCs w:val="20"/>
          <w:lang w:eastAsia="en-US"/>
        </w:rPr>
        <w:t>SICRIS</w:t>
      </w:r>
      <w:r w:rsidRPr="006C6318">
        <w:rPr>
          <w:rFonts w:asciiTheme="minorHAnsi" w:eastAsiaTheme="minorHAnsi" w:hAnsiTheme="minorHAnsi" w:cstheme="minorHAnsi"/>
          <w:sz w:val="20"/>
          <w:szCs w:val="20"/>
          <w:lang w:eastAsia="en-US"/>
        </w:rPr>
        <w:t xml:space="preserve">; glej tukaj: </w:t>
      </w:r>
      <w:hyperlink r:id="rId8" w:history="1">
        <w:r w:rsidRPr="006C6318">
          <w:rPr>
            <w:rFonts w:asciiTheme="minorHAnsi" w:eastAsiaTheme="minorHAnsi" w:hAnsiTheme="minorHAnsi" w:cstheme="minorHAnsi"/>
            <w:color w:val="0000FF"/>
            <w:sz w:val="20"/>
            <w:szCs w:val="20"/>
            <w:u w:val="single"/>
            <w:lang w:eastAsia="en-US"/>
          </w:rPr>
          <w:t>https://cris.cobiss.net/ecris/si/sl</w:t>
        </w:r>
      </w:hyperlink>
      <w:r w:rsidRPr="006C6318">
        <w:rPr>
          <w:rFonts w:asciiTheme="minorHAnsi" w:eastAsiaTheme="minorHAnsi" w:hAnsiTheme="minorHAnsi" w:cstheme="minorHAnsi"/>
          <w:sz w:val="20"/>
          <w:szCs w:val="20"/>
          <w:lang w:eastAsia="en-US"/>
        </w:rPr>
        <w:t xml:space="preserve">). Skladno s pogoji </w:t>
      </w:r>
      <w:r w:rsidRPr="00161BE8">
        <w:rPr>
          <w:rFonts w:asciiTheme="minorHAnsi" w:eastAsiaTheme="minorHAnsi" w:hAnsiTheme="minorHAnsi" w:cstheme="minorHAnsi"/>
          <w:sz w:val="20"/>
          <w:szCs w:val="20"/>
          <w:lang w:eastAsia="en-US"/>
        </w:rPr>
        <w:t xml:space="preserve">Javnega </w:t>
      </w:r>
      <w:r w:rsidR="00161BE8">
        <w:rPr>
          <w:rFonts w:asciiTheme="minorHAnsi" w:eastAsiaTheme="minorHAnsi" w:hAnsiTheme="minorHAnsi" w:cstheme="minorHAnsi"/>
          <w:sz w:val="20"/>
          <w:szCs w:val="20"/>
          <w:lang w:eastAsia="en-US"/>
        </w:rPr>
        <w:t xml:space="preserve">poziva </w:t>
      </w:r>
      <w:r w:rsidRPr="00161BE8">
        <w:rPr>
          <w:rFonts w:asciiTheme="minorHAnsi" w:eastAsiaTheme="minorHAnsi" w:hAnsiTheme="minorHAnsi" w:cstheme="minorHAnsi"/>
          <w:sz w:val="20"/>
          <w:szCs w:val="20"/>
          <w:lang w:eastAsia="en-US"/>
        </w:rPr>
        <w:t>»</w:t>
      </w:r>
      <w:r w:rsidR="00161BE8">
        <w:rPr>
          <w:rFonts w:asciiTheme="minorHAnsi" w:eastAsiaTheme="minorHAnsi" w:hAnsiTheme="minorHAnsi" w:cstheme="minorHAnsi"/>
          <w:sz w:val="20"/>
          <w:szCs w:val="20"/>
          <w:lang w:eastAsia="en-US"/>
        </w:rPr>
        <w:t xml:space="preserve">Nadgradnja aplikativnih </w:t>
      </w:r>
      <w:r w:rsidR="00161BE8" w:rsidRPr="00DE0A22">
        <w:rPr>
          <w:rFonts w:asciiTheme="minorHAnsi" w:eastAsiaTheme="minorHAnsi" w:hAnsiTheme="minorHAnsi" w:cstheme="minorHAnsi"/>
          <w:sz w:val="20"/>
          <w:szCs w:val="20"/>
          <w:lang w:eastAsia="en-US"/>
        </w:rPr>
        <w:t xml:space="preserve">projektov </w:t>
      </w:r>
      <w:r w:rsidR="00A9148C" w:rsidRPr="00DE0A22">
        <w:rPr>
          <w:rFonts w:asciiTheme="minorHAnsi" w:eastAsiaTheme="minorHAnsi" w:hAnsiTheme="minorHAnsi" w:cstheme="minorHAnsi"/>
          <w:sz w:val="20"/>
          <w:szCs w:val="20"/>
          <w:lang w:eastAsia="en-US"/>
        </w:rPr>
        <w:t>ARIS</w:t>
      </w:r>
      <w:r w:rsidR="00A9148C">
        <w:rPr>
          <w:rFonts w:asciiTheme="minorHAnsi" w:eastAsiaTheme="minorHAnsi" w:hAnsiTheme="minorHAnsi" w:cstheme="minorHAnsi"/>
          <w:sz w:val="20"/>
          <w:szCs w:val="20"/>
          <w:lang w:eastAsia="en-US"/>
        </w:rPr>
        <w:t xml:space="preserve"> </w:t>
      </w:r>
      <w:r w:rsidR="00161BE8">
        <w:rPr>
          <w:rFonts w:asciiTheme="minorHAnsi" w:eastAsiaTheme="minorHAnsi" w:hAnsiTheme="minorHAnsi" w:cstheme="minorHAnsi"/>
          <w:sz w:val="20"/>
          <w:szCs w:val="20"/>
          <w:lang w:eastAsia="en-US"/>
        </w:rPr>
        <w:t>(JP NAP)</w:t>
      </w:r>
      <w:r w:rsidRPr="00161BE8">
        <w:rPr>
          <w:rFonts w:asciiTheme="minorHAnsi" w:eastAsiaTheme="minorHAnsi" w:hAnsiTheme="minorHAnsi" w:cstheme="minorHAnsi"/>
          <w:sz w:val="20"/>
          <w:szCs w:val="20"/>
          <w:lang w:eastAsia="en-US"/>
        </w:rPr>
        <w:t>«</w:t>
      </w:r>
      <w:r w:rsidRPr="006C6318">
        <w:rPr>
          <w:rFonts w:asciiTheme="minorHAnsi" w:eastAsiaTheme="minorHAnsi" w:hAnsiTheme="minorHAnsi" w:cstheme="minorHAnsi"/>
          <w:sz w:val="20"/>
          <w:szCs w:val="20"/>
          <w:lang w:eastAsia="en-US"/>
        </w:rPr>
        <w:t xml:space="preserve"> so </w:t>
      </w:r>
      <w:proofErr w:type="spellStart"/>
      <w:r w:rsidRPr="006C6318">
        <w:rPr>
          <w:rFonts w:asciiTheme="minorHAnsi" w:eastAsiaTheme="minorHAnsi" w:hAnsiTheme="minorHAnsi" w:cstheme="minorHAnsi"/>
          <w:sz w:val="20"/>
          <w:szCs w:val="20"/>
          <w:lang w:eastAsia="en-US"/>
        </w:rPr>
        <w:t>konzorcijski</w:t>
      </w:r>
      <w:proofErr w:type="spellEnd"/>
      <w:r w:rsidRPr="006C6318">
        <w:rPr>
          <w:rFonts w:asciiTheme="minorHAnsi" w:eastAsiaTheme="minorHAnsi" w:hAnsiTheme="minorHAnsi" w:cstheme="minorHAnsi"/>
          <w:sz w:val="20"/>
          <w:szCs w:val="20"/>
          <w:lang w:eastAsia="en-US"/>
        </w:rPr>
        <w:t xml:space="preserve"> partnerji – organizacije za raziskovanje in širjenje znanja -  tisti subjekti iz Evidence RO, ki so javni in zasebni zavodi oziroma visokošolski zavodi skladno z določbami Zakona o zavodih</w:t>
      </w:r>
      <w:r w:rsidRPr="006C6318">
        <w:rPr>
          <w:rFonts w:asciiTheme="minorHAnsi" w:eastAsiaTheme="minorHAnsi" w:hAnsiTheme="minorHAnsi" w:cstheme="minorHAnsi"/>
          <w:sz w:val="20"/>
          <w:szCs w:val="20"/>
          <w:vertAlign w:val="superscript"/>
          <w:lang w:eastAsia="en-US"/>
        </w:rPr>
        <w:footnoteReference w:id="11"/>
      </w:r>
      <w:r w:rsidRPr="006C6318">
        <w:rPr>
          <w:rFonts w:asciiTheme="minorHAnsi" w:eastAsiaTheme="minorHAnsi" w:hAnsiTheme="minorHAnsi" w:cstheme="minorHAnsi"/>
          <w:sz w:val="20"/>
          <w:szCs w:val="20"/>
          <w:lang w:eastAsia="en-US"/>
        </w:rPr>
        <w:t xml:space="preserve"> oziroma Zakona o visokem šolstvu</w:t>
      </w:r>
      <w:r w:rsidRPr="006C6318">
        <w:rPr>
          <w:rFonts w:asciiTheme="minorHAnsi" w:eastAsiaTheme="minorHAnsi" w:hAnsiTheme="minorHAnsi" w:cstheme="minorHAnsi"/>
          <w:sz w:val="20"/>
          <w:szCs w:val="20"/>
          <w:vertAlign w:val="superscript"/>
          <w:lang w:eastAsia="en-US"/>
        </w:rPr>
        <w:footnoteReference w:id="12"/>
      </w:r>
      <w:r w:rsidRPr="006C6318">
        <w:rPr>
          <w:rFonts w:asciiTheme="minorHAnsi" w:eastAsiaTheme="minorHAnsi" w:hAnsiTheme="minorHAnsi" w:cstheme="minorHAnsi"/>
          <w:sz w:val="20"/>
          <w:szCs w:val="20"/>
          <w:lang w:eastAsia="en-US"/>
        </w:rPr>
        <w:t>.</w:t>
      </w:r>
    </w:p>
    <w:p w14:paraId="125CC109" w14:textId="77777777" w:rsidR="00D45189" w:rsidRPr="006C6318" w:rsidRDefault="00D45189" w:rsidP="006C6318">
      <w:pPr>
        <w:spacing w:after="160" w:line="276" w:lineRule="auto"/>
        <w:jc w:val="both"/>
        <w:rPr>
          <w:rFonts w:asciiTheme="minorHAnsi" w:eastAsiaTheme="minorHAnsi" w:hAnsiTheme="minorHAnsi" w:cstheme="minorHAnsi"/>
          <w:sz w:val="20"/>
          <w:szCs w:val="20"/>
          <w:lang w:eastAsia="en-US"/>
        </w:rPr>
      </w:pPr>
      <w:r w:rsidRPr="006C6318">
        <w:rPr>
          <w:rFonts w:asciiTheme="minorHAnsi" w:eastAsiaTheme="minorHAnsi" w:hAnsiTheme="minorHAnsi" w:cstheme="minorHAnsi"/>
          <w:sz w:val="20"/>
          <w:szCs w:val="20"/>
          <w:lang w:eastAsia="en-US"/>
        </w:rPr>
        <w:t>7. Pri preverjanju glavnega cilja ali osnovne dejavnosti subjekta iz Evidence RO se upošteva regulativni okvir, ki ureja dejavnosti subjekta (vključno z njegovim statutom, internimi pravili in podobno razpoložljivo dokumentacijo), strukturo in izvor financiranja njegovih dejavnosti ter, če je mogoče, druge javno dostopne informacije, ki opisujejo dejavnosti subjekta (na primer strategija razvoja, letni in finančni načrt, letno in finančno poročilo). Subjekt posreduje dokazila, ki opredeljujejo umestitev kot navedeno v 4. točki metodologije, ali javno dostopne spletne povezave na dokazila v Samoopredelitvi.</w:t>
      </w:r>
    </w:p>
    <w:p w14:paraId="0B664253" w14:textId="77777777" w:rsidR="00D45189" w:rsidRPr="006C6318" w:rsidRDefault="00D45189" w:rsidP="006C6318">
      <w:pPr>
        <w:spacing w:after="160" w:line="276" w:lineRule="auto"/>
        <w:jc w:val="both"/>
        <w:rPr>
          <w:rFonts w:asciiTheme="minorHAnsi" w:eastAsiaTheme="minorHAnsi" w:hAnsiTheme="minorHAnsi" w:cstheme="minorHAnsi"/>
          <w:sz w:val="20"/>
          <w:szCs w:val="20"/>
          <w:lang w:eastAsia="en-US"/>
        </w:rPr>
      </w:pPr>
      <w:r w:rsidRPr="006C6318">
        <w:rPr>
          <w:rFonts w:asciiTheme="minorHAnsi" w:eastAsiaTheme="minorHAnsi" w:hAnsiTheme="minorHAnsi" w:cstheme="minorHAnsi"/>
          <w:sz w:val="20"/>
          <w:szCs w:val="20"/>
          <w:lang w:eastAsia="en-US"/>
        </w:rPr>
        <w:lastRenderedPageBreak/>
        <w:t>8. Subjekt, vpisan v Evidenco RO, ki je ustanovljen po Zakonu o zavodih (ne glede na ustanovitelja) in ni visokošolski zavod, v skladu z normativno ureditvijo Republike Slovenije izpolnjuje pogoje za izvajanje raziskovalne in razvojne dejavnosti, dodatno pa je treba zagotoviti, da:</w:t>
      </w:r>
    </w:p>
    <w:p w14:paraId="6D0B2BA3" w14:textId="77777777" w:rsidR="00D45189" w:rsidRPr="006C6318" w:rsidRDefault="00D45189" w:rsidP="006C6318">
      <w:pPr>
        <w:spacing w:after="160" w:line="276" w:lineRule="auto"/>
        <w:jc w:val="both"/>
        <w:rPr>
          <w:rFonts w:asciiTheme="minorHAnsi" w:eastAsiaTheme="minorHAnsi" w:hAnsiTheme="minorHAnsi" w:cstheme="minorHAnsi"/>
          <w:sz w:val="20"/>
          <w:szCs w:val="20"/>
          <w:lang w:eastAsia="en-US"/>
        </w:rPr>
      </w:pPr>
      <w:r w:rsidRPr="006C6318">
        <w:rPr>
          <w:rFonts w:asciiTheme="minorHAnsi" w:eastAsiaTheme="minorHAnsi" w:hAnsiTheme="minorHAnsi" w:cstheme="minorHAnsi"/>
          <w:sz w:val="20"/>
          <w:szCs w:val="20"/>
          <w:lang w:eastAsia="en-US"/>
        </w:rPr>
        <w:t>8.1. statut oziroma pravila in drugi splošni akti subjekta opredeljujejo, da je glavni cilj ali osnovna dejavnost subjekta Neodvisno raziskovanje ali Širjenje znanja.</w:t>
      </w:r>
    </w:p>
    <w:p w14:paraId="609602F9" w14:textId="77777777" w:rsidR="00D45189" w:rsidRPr="006C6318" w:rsidRDefault="00D45189" w:rsidP="006C6318">
      <w:pPr>
        <w:spacing w:after="160" w:line="276" w:lineRule="auto"/>
        <w:jc w:val="both"/>
        <w:rPr>
          <w:rFonts w:asciiTheme="minorHAnsi" w:eastAsiaTheme="minorHAnsi" w:hAnsiTheme="minorHAnsi" w:cstheme="minorHAnsi"/>
          <w:sz w:val="20"/>
          <w:szCs w:val="20"/>
          <w:lang w:eastAsia="en-US"/>
        </w:rPr>
      </w:pPr>
      <w:r w:rsidRPr="006C6318">
        <w:rPr>
          <w:rFonts w:asciiTheme="minorHAnsi" w:eastAsiaTheme="minorHAnsi" w:hAnsiTheme="minorHAnsi" w:cstheme="minorHAnsi"/>
          <w:sz w:val="20"/>
          <w:szCs w:val="20"/>
          <w:lang w:eastAsia="en-US"/>
        </w:rPr>
        <w:t>8.2. je iz programa dela in razvoja, finančnega načrta, letnega poročila ali drugih strateških dokumentov razvidno, da je glavni cilj ali osnovna dejavnost subjekta Neodvisno raziskovanje in Širjenje znanja.</w:t>
      </w:r>
    </w:p>
    <w:p w14:paraId="75FD06E9" w14:textId="77777777" w:rsidR="00D45189" w:rsidRPr="006C6318" w:rsidRDefault="00D45189" w:rsidP="006C6318">
      <w:pPr>
        <w:spacing w:after="160" w:line="276" w:lineRule="auto"/>
        <w:jc w:val="both"/>
        <w:rPr>
          <w:rFonts w:asciiTheme="minorHAnsi" w:eastAsiaTheme="minorHAnsi" w:hAnsiTheme="minorHAnsi" w:cstheme="minorHAnsi"/>
          <w:sz w:val="20"/>
          <w:szCs w:val="20"/>
          <w:lang w:eastAsia="en-US"/>
        </w:rPr>
      </w:pPr>
      <w:r w:rsidRPr="006C6318">
        <w:rPr>
          <w:rFonts w:asciiTheme="minorHAnsi" w:eastAsiaTheme="minorHAnsi" w:hAnsiTheme="minorHAnsi" w:cstheme="minorHAnsi"/>
          <w:sz w:val="20"/>
          <w:szCs w:val="20"/>
          <w:lang w:eastAsia="en-US"/>
        </w:rPr>
        <w:t>9. Subjekt, vpisan v Evidenco RO, ki je visokošolski zavod (ne glede na ustanovitelja) skladno z Zakonom o visokošolskih zavodih, v skladu z normativno ureditvijo Republike Slovenije izpolnjuje pogoje za izvajanje raziskovalne in razvojne dejavnosti, dodatno pa je treba zagotoviti, da:</w:t>
      </w:r>
    </w:p>
    <w:p w14:paraId="06FF0D89" w14:textId="77777777" w:rsidR="00D45189" w:rsidRPr="006C6318" w:rsidRDefault="00D45189" w:rsidP="006C6318">
      <w:pPr>
        <w:spacing w:after="160" w:line="276" w:lineRule="auto"/>
        <w:jc w:val="both"/>
        <w:rPr>
          <w:rFonts w:asciiTheme="minorHAnsi" w:eastAsiaTheme="minorHAnsi" w:hAnsiTheme="minorHAnsi" w:cstheme="minorHAnsi"/>
          <w:sz w:val="20"/>
          <w:szCs w:val="20"/>
          <w:lang w:eastAsia="en-US"/>
        </w:rPr>
      </w:pPr>
      <w:r w:rsidRPr="006C6318">
        <w:rPr>
          <w:rFonts w:asciiTheme="minorHAnsi" w:eastAsiaTheme="minorHAnsi" w:hAnsiTheme="minorHAnsi" w:cstheme="minorHAnsi"/>
          <w:sz w:val="20"/>
          <w:szCs w:val="20"/>
          <w:lang w:eastAsia="en-US"/>
        </w:rPr>
        <w:t>9.1 statut oziroma pravila in drugi splošni akti subjekta opredeljujejo, da je glavni cilj ali osnovna dejavnost subjekta Neodvisno raziskovanje;</w:t>
      </w:r>
    </w:p>
    <w:p w14:paraId="01B70209" w14:textId="77777777" w:rsidR="00D45189" w:rsidRPr="006C6318" w:rsidRDefault="00D45189" w:rsidP="006C6318">
      <w:pPr>
        <w:spacing w:after="160" w:line="276" w:lineRule="auto"/>
        <w:jc w:val="both"/>
        <w:rPr>
          <w:rFonts w:asciiTheme="minorHAnsi" w:eastAsiaTheme="minorHAnsi" w:hAnsiTheme="minorHAnsi" w:cstheme="minorHAnsi"/>
          <w:sz w:val="20"/>
          <w:szCs w:val="20"/>
          <w:lang w:eastAsia="en-US"/>
        </w:rPr>
      </w:pPr>
      <w:r w:rsidRPr="006C6318">
        <w:rPr>
          <w:rFonts w:asciiTheme="minorHAnsi" w:eastAsiaTheme="minorHAnsi" w:hAnsiTheme="minorHAnsi" w:cstheme="minorHAnsi"/>
          <w:sz w:val="20"/>
          <w:szCs w:val="20"/>
          <w:lang w:eastAsia="en-US"/>
        </w:rPr>
        <w:t>9.2 je subjekt akreditiran za izvajanje izobraževalne dejavnosti in registriran v Javni evidenci akreditacij visokošolskih zavodov Nacionalne agencije Republike Slovenije za kakovost v visokem šolstvu (v nadaljevanju</w:t>
      </w:r>
      <w:r w:rsidRPr="006C6318">
        <w:rPr>
          <w:rFonts w:asciiTheme="minorHAnsi" w:hAnsiTheme="minorHAnsi" w:cstheme="minorHAnsi"/>
          <w:sz w:val="20"/>
          <w:szCs w:val="20"/>
        </w:rPr>
        <w:t xml:space="preserve"> </w:t>
      </w:r>
      <w:r w:rsidRPr="006C6318">
        <w:rPr>
          <w:rFonts w:asciiTheme="minorHAnsi" w:eastAsiaTheme="minorHAnsi" w:hAnsiTheme="minorHAnsi" w:cstheme="minorHAnsi"/>
          <w:sz w:val="20"/>
          <w:szCs w:val="20"/>
          <w:lang w:eastAsia="en-US"/>
        </w:rPr>
        <w:t>te priloge:</w:t>
      </w:r>
      <w:r w:rsidRPr="006C6318">
        <w:rPr>
          <w:rFonts w:asciiTheme="minorHAnsi" w:eastAsiaTheme="minorHAnsi" w:hAnsiTheme="minorHAnsi" w:cstheme="minorHAnsi"/>
          <w:b/>
          <w:sz w:val="20"/>
          <w:szCs w:val="20"/>
          <w:lang w:eastAsia="en-US"/>
        </w:rPr>
        <w:t xml:space="preserve"> NAKVIS</w:t>
      </w:r>
      <w:r w:rsidRPr="006C6318">
        <w:rPr>
          <w:rFonts w:asciiTheme="minorHAnsi" w:eastAsiaTheme="minorHAnsi" w:hAnsiTheme="minorHAnsi" w:cstheme="minorHAnsi"/>
          <w:sz w:val="20"/>
          <w:szCs w:val="20"/>
          <w:lang w:eastAsia="en-US"/>
        </w:rPr>
        <w:t xml:space="preserve">; </w:t>
      </w:r>
      <w:hyperlink r:id="rId9" w:history="1">
        <w:r w:rsidRPr="006C6318">
          <w:rPr>
            <w:rFonts w:asciiTheme="minorHAnsi" w:eastAsiaTheme="minorHAnsi" w:hAnsiTheme="minorHAnsi" w:cstheme="minorHAnsi"/>
            <w:color w:val="0000FF"/>
            <w:sz w:val="20"/>
            <w:szCs w:val="20"/>
            <w:u w:val="single"/>
            <w:lang w:eastAsia="en-US"/>
          </w:rPr>
          <w:t>https://nakvis.si/akreditacije-in-evalvacije-v-visokem-solstvu/javne-evidence/</w:t>
        </w:r>
      </w:hyperlink>
      <w:r w:rsidRPr="006C6318">
        <w:rPr>
          <w:rFonts w:asciiTheme="minorHAnsi" w:eastAsiaTheme="minorHAnsi" w:hAnsiTheme="minorHAnsi" w:cstheme="minorHAnsi"/>
          <w:sz w:val="20"/>
          <w:szCs w:val="20"/>
          <w:lang w:eastAsia="en-US"/>
        </w:rPr>
        <w:t>)</w:t>
      </w:r>
    </w:p>
    <w:p w14:paraId="64D5CEC3" w14:textId="77777777" w:rsidR="00D45189" w:rsidRPr="006C6318" w:rsidRDefault="00D45189" w:rsidP="006C6318">
      <w:pPr>
        <w:spacing w:after="160" w:line="276" w:lineRule="auto"/>
        <w:jc w:val="both"/>
        <w:rPr>
          <w:rFonts w:asciiTheme="minorHAnsi" w:eastAsiaTheme="minorHAnsi" w:hAnsiTheme="minorHAnsi" w:cstheme="minorHAnsi"/>
          <w:sz w:val="20"/>
          <w:szCs w:val="20"/>
          <w:lang w:eastAsia="en-US"/>
        </w:rPr>
      </w:pPr>
      <w:r w:rsidRPr="006C6318">
        <w:rPr>
          <w:rFonts w:asciiTheme="minorHAnsi" w:eastAsiaTheme="minorHAnsi" w:hAnsiTheme="minorHAnsi" w:cstheme="minorHAnsi"/>
          <w:sz w:val="20"/>
          <w:szCs w:val="20"/>
          <w:lang w:eastAsia="en-US"/>
        </w:rPr>
        <w:t>9.3  je iz programa dela in razvoja, finančnega načrta, letnega poročila ali drugih strateških dokumentov razvidno, da je glavni cilj ali osnovna dejavnost subjekta Neodvisno raziskovanje.</w:t>
      </w:r>
    </w:p>
    <w:p w14:paraId="7969F138" w14:textId="77777777" w:rsidR="00D45189" w:rsidRPr="006C6318" w:rsidRDefault="00D45189" w:rsidP="006C6318">
      <w:pPr>
        <w:spacing w:after="160" w:line="276" w:lineRule="auto"/>
        <w:jc w:val="both"/>
        <w:rPr>
          <w:rFonts w:asciiTheme="minorHAnsi" w:eastAsiaTheme="minorHAnsi" w:hAnsiTheme="minorHAnsi" w:cstheme="minorHAnsi"/>
          <w:sz w:val="20"/>
          <w:szCs w:val="20"/>
          <w:lang w:eastAsia="en-US"/>
        </w:rPr>
      </w:pPr>
      <w:r w:rsidRPr="006C6318">
        <w:rPr>
          <w:rFonts w:asciiTheme="minorHAnsi" w:eastAsiaTheme="minorHAnsi" w:hAnsiTheme="minorHAnsi" w:cstheme="minorHAnsi"/>
          <w:sz w:val="20"/>
          <w:szCs w:val="20"/>
          <w:lang w:eastAsia="en-US"/>
        </w:rPr>
        <w:t>10. Za preverjanje dejanskega izvajanja aktivnosti iz 8., 9. in 10. točke metodologije, ki so Neodvisno raziskovanje ali Širjenje znanja in jih subjekt iz Evidence RO izvaja v ustreznih koledarskih letih, se uporabijo:</w:t>
      </w:r>
    </w:p>
    <w:p w14:paraId="7057F524" w14:textId="77777777" w:rsidR="00D45189" w:rsidRPr="006C6318" w:rsidRDefault="00D45189" w:rsidP="006C6318">
      <w:pPr>
        <w:spacing w:after="160" w:line="276" w:lineRule="auto"/>
        <w:ind w:firstLine="708"/>
        <w:jc w:val="both"/>
        <w:rPr>
          <w:rFonts w:asciiTheme="minorHAnsi" w:eastAsiaTheme="minorHAnsi" w:hAnsiTheme="minorHAnsi" w:cstheme="minorHAnsi"/>
          <w:sz w:val="20"/>
          <w:szCs w:val="20"/>
          <w:lang w:eastAsia="en-US"/>
        </w:rPr>
      </w:pPr>
      <w:r w:rsidRPr="006C6318">
        <w:rPr>
          <w:rFonts w:asciiTheme="minorHAnsi" w:eastAsiaTheme="minorHAnsi" w:hAnsiTheme="minorHAnsi" w:cstheme="minorHAnsi"/>
          <w:sz w:val="20"/>
          <w:szCs w:val="20"/>
          <w:lang w:eastAsia="en-US"/>
        </w:rPr>
        <w:t>a) podatki SICRIS iz Evidence RO o raziskovalni dejavnosti, vrednotenju, citiranju raziskovalne dejavnosti subjekta ter</w:t>
      </w:r>
    </w:p>
    <w:p w14:paraId="79645365" w14:textId="77777777" w:rsidR="00D45189" w:rsidRPr="006C6318" w:rsidRDefault="00D45189" w:rsidP="006C6318">
      <w:pPr>
        <w:spacing w:after="160" w:line="276" w:lineRule="auto"/>
        <w:ind w:firstLine="708"/>
        <w:jc w:val="both"/>
        <w:rPr>
          <w:rFonts w:asciiTheme="minorHAnsi" w:eastAsiaTheme="minorHAnsi" w:hAnsiTheme="minorHAnsi" w:cstheme="minorHAnsi"/>
          <w:sz w:val="20"/>
          <w:szCs w:val="20"/>
          <w:lang w:eastAsia="en-US"/>
        </w:rPr>
      </w:pPr>
      <w:r w:rsidRPr="006C6318">
        <w:rPr>
          <w:rFonts w:asciiTheme="minorHAnsi" w:eastAsiaTheme="minorHAnsi" w:hAnsiTheme="minorHAnsi" w:cstheme="minorHAnsi"/>
          <w:sz w:val="20"/>
          <w:szCs w:val="20"/>
          <w:lang w:eastAsia="en-US"/>
        </w:rPr>
        <w:t>b) informacije, če je le možno javno dostopne, ki jih subjekt predloži v Samoopredelitvi.</w:t>
      </w:r>
    </w:p>
    <w:p w14:paraId="18E04A7F" w14:textId="77777777" w:rsidR="00D45189" w:rsidRPr="006C6318" w:rsidRDefault="00D45189" w:rsidP="006C6318">
      <w:pPr>
        <w:spacing w:after="160" w:line="276" w:lineRule="auto"/>
        <w:jc w:val="both"/>
        <w:rPr>
          <w:rFonts w:asciiTheme="minorHAnsi" w:eastAsiaTheme="minorHAnsi" w:hAnsiTheme="minorHAnsi" w:cstheme="minorHAnsi"/>
          <w:sz w:val="20"/>
          <w:szCs w:val="20"/>
          <w:lang w:eastAsia="en-US"/>
        </w:rPr>
      </w:pPr>
      <w:r w:rsidRPr="006C6318">
        <w:rPr>
          <w:rFonts w:asciiTheme="minorHAnsi" w:eastAsiaTheme="minorHAnsi" w:hAnsiTheme="minorHAnsi" w:cstheme="minorHAnsi"/>
          <w:sz w:val="20"/>
          <w:szCs w:val="20"/>
          <w:lang w:eastAsia="en-US"/>
        </w:rPr>
        <w:t>Preveriti je potrebno naslednje informacije:</w:t>
      </w:r>
    </w:p>
    <w:p w14:paraId="6F96A6E7" w14:textId="77777777" w:rsidR="00D45189" w:rsidRPr="006C6318" w:rsidRDefault="00D45189" w:rsidP="006C6318">
      <w:pPr>
        <w:spacing w:after="160" w:line="276" w:lineRule="auto"/>
        <w:jc w:val="both"/>
        <w:rPr>
          <w:rFonts w:asciiTheme="minorHAnsi" w:eastAsiaTheme="minorHAnsi" w:hAnsiTheme="minorHAnsi" w:cstheme="minorHAnsi"/>
          <w:sz w:val="20"/>
          <w:szCs w:val="20"/>
          <w:lang w:eastAsia="en-US"/>
        </w:rPr>
      </w:pPr>
      <w:r w:rsidRPr="006C6318">
        <w:rPr>
          <w:rFonts w:asciiTheme="minorHAnsi" w:eastAsiaTheme="minorHAnsi" w:hAnsiTheme="minorHAnsi" w:cstheme="minorHAnsi"/>
          <w:sz w:val="20"/>
          <w:szCs w:val="20"/>
          <w:lang w:eastAsia="en-US"/>
        </w:rPr>
        <w:t>10.1 izvajanje Neodvisnega raziskovanja, razdeljeno po znanstvenih področjih in raziskovalnih kategorijah (temeljne raziskave, industrijske raziskave, eksperimentalni razvoj; v nadaljevanju</w:t>
      </w:r>
      <w:r w:rsidRPr="006C6318">
        <w:rPr>
          <w:rFonts w:asciiTheme="minorHAnsi" w:hAnsiTheme="minorHAnsi" w:cstheme="minorHAnsi"/>
          <w:sz w:val="20"/>
          <w:szCs w:val="20"/>
        </w:rPr>
        <w:t xml:space="preserve"> </w:t>
      </w:r>
      <w:r w:rsidRPr="006C6318">
        <w:rPr>
          <w:rFonts w:asciiTheme="minorHAnsi" w:eastAsiaTheme="minorHAnsi" w:hAnsiTheme="minorHAnsi" w:cstheme="minorHAnsi"/>
          <w:sz w:val="20"/>
          <w:szCs w:val="20"/>
          <w:lang w:eastAsia="en-US"/>
        </w:rPr>
        <w:t xml:space="preserve">te priloge: </w:t>
      </w:r>
      <w:r w:rsidRPr="006C6318">
        <w:rPr>
          <w:rFonts w:asciiTheme="minorHAnsi" w:eastAsiaTheme="minorHAnsi" w:hAnsiTheme="minorHAnsi" w:cstheme="minorHAnsi"/>
          <w:b/>
          <w:sz w:val="20"/>
          <w:szCs w:val="20"/>
          <w:lang w:eastAsia="en-US"/>
        </w:rPr>
        <w:t>Raziskovalne kategorije</w:t>
      </w:r>
      <w:r w:rsidRPr="006C6318">
        <w:rPr>
          <w:rFonts w:asciiTheme="minorHAnsi" w:eastAsiaTheme="minorHAnsi" w:hAnsiTheme="minorHAnsi" w:cstheme="minorHAnsi"/>
          <w:sz w:val="20"/>
          <w:szCs w:val="20"/>
          <w:lang w:eastAsia="en-US"/>
        </w:rPr>
        <w:t>). To pomeni, da so v Samoopredelitvi navedene informacije kot so informacije o:</w:t>
      </w:r>
    </w:p>
    <w:p w14:paraId="018DD1AD" w14:textId="77777777" w:rsidR="00D45189" w:rsidRPr="006C6318" w:rsidRDefault="00D45189" w:rsidP="006C6318">
      <w:pPr>
        <w:spacing w:after="160" w:line="276" w:lineRule="auto"/>
        <w:ind w:firstLine="708"/>
        <w:jc w:val="both"/>
        <w:rPr>
          <w:rFonts w:asciiTheme="minorHAnsi" w:eastAsiaTheme="minorHAnsi" w:hAnsiTheme="minorHAnsi" w:cstheme="minorHAnsi"/>
          <w:sz w:val="20"/>
          <w:szCs w:val="20"/>
          <w:lang w:eastAsia="en-US"/>
        </w:rPr>
      </w:pPr>
      <w:r w:rsidRPr="006C6318">
        <w:rPr>
          <w:rFonts w:asciiTheme="minorHAnsi" w:eastAsiaTheme="minorHAnsi" w:hAnsiTheme="minorHAnsi" w:cstheme="minorHAnsi"/>
          <w:sz w:val="20"/>
          <w:szCs w:val="20"/>
          <w:lang w:eastAsia="en-US"/>
        </w:rPr>
        <w:t>- raziskovalnih projektih in njihova razdelitev po znanstvenih področjih in Raziskovalnih kategorijah (npr. projekti ARIS, projekti, financirani iz Okvirnega programa Evropske unije ter drugi mednarodni in nacionalni kompetitivni projekti, financirani z državnega proračuna);</w:t>
      </w:r>
    </w:p>
    <w:p w14:paraId="38B180BC" w14:textId="77777777" w:rsidR="00D45189" w:rsidRPr="006C6318" w:rsidRDefault="00D45189" w:rsidP="006C6318">
      <w:pPr>
        <w:spacing w:after="160" w:line="276" w:lineRule="auto"/>
        <w:ind w:firstLine="708"/>
        <w:jc w:val="both"/>
        <w:rPr>
          <w:rFonts w:asciiTheme="minorHAnsi" w:eastAsiaTheme="minorHAnsi" w:hAnsiTheme="minorHAnsi" w:cstheme="minorHAnsi"/>
          <w:sz w:val="20"/>
          <w:szCs w:val="20"/>
          <w:lang w:eastAsia="en-US"/>
        </w:rPr>
      </w:pPr>
      <w:r w:rsidRPr="006C6318">
        <w:rPr>
          <w:rFonts w:asciiTheme="minorHAnsi" w:eastAsiaTheme="minorHAnsi" w:hAnsiTheme="minorHAnsi" w:cstheme="minorHAnsi"/>
          <w:sz w:val="20"/>
          <w:szCs w:val="20"/>
          <w:lang w:eastAsia="en-US"/>
        </w:rPr>
        <w:t>- raziskovalnih in razvojnih pogodbenih delih in njihova razdelitev po znanstvenih področjih in Raziskovalnih kategorijah, pridobljeno financiranje in vir financiranja (vključno z raziskovalnimi in razvojnimi pogodbami s podjetji, javnimi osebami - na primer država, občina, javna univerza, inštitut) in drugimi naročniki - na primer fizična oseba, društvo, ustanova);</w:t>
      </w:r>
    </w:p>
    <w:p w14:paraId="0CA4908E" w14:textId="77777777" w:rsidR="00D45189" w:rsidRPr="006C6318" w:rsidRDefault="00D45189" w:rsidP="006C6318">
      <w:pPr>
        <w:spacing w:after="160" w:line="276" w:lineRule="auto"/>
        <w:ind w:firstLine="708"/>
        <w:jc w:val="both"/>
        <w:rPr>
          <w:rFonts w:asciiTheme="minorHAnsi" w:eastAsiaTheme="minorHAnsi" w:hAnsiTheme="minorHAnsi" w:cstheme="minorHAnsi"/>
          <w:sz w:val="20"/>
          <w:szCs w:val="20"/>
          <w:lang w:eastAsia="en-US"/>
        </w:rPr>
      </w:pPr>
      <w:r w:rsidRPr="006C6318">
        <w:rPr>
          <w:rFonts w:asciiTheme="minorHAnsi" w:eastAsiaTheme="minorHAnsi" w:hAnsiTheme="minorHAnsi" w:cstheme="minorHAnsi"/>
          <w:sz w:val="20"/>
          <w:szCs w:val="20"/>
          <w:lang w:eastAsia="en-US"/>
        </w:rPr>
        <w:t>- narava raziskovalno razvojne dejavnosti (negospodarska dejavnost, gospodarska dejavnost), prihodki od prenosa pravic intelektualne lastnine, sredstva, ki jih raziskovalna organizacija pridobi iz mednarodnih raziskovalno-razvojnih pogodb.</w:t>
      </w:r>
    </w:p>
    <w:p w14:paraId="204A57E0" w14:textId="77777777" w:rsidR="00D45189" w:rsidRPr="006C6318" w:rsidRDefault="00D45189" w:rsidP="006C6318">
      <w:pPr>
        <w:spacing w:after="160" w:line="276" w:lineRule="auto"/>
        <w:jc w:val="both"/>
        <w:rPr>
          <w:rFonts w:asciiTheme="minorHAnsi" w:eastAsiaTheme="minorHAnsi" w:hAnsiTheme="minorHAnsi" w:cstheme="minorHAnsi"/>
          <w:sz w:val="20"/>
          <w:szCs w:val="20"/>
          <w:lang w:eastAsia="en-US"/>
        </w:rPr>
      </w:pPr>
      <w:r w:rsidRPr="006C6318">
        <w:rPr>
          <w:rFonts w:asciiTheme="minorHAnsi" w:eastAsiaTheme="minorHAnsi" w:hAnsiTheme="minorHAnsi" w:cstheme="minorHAnsi"/>
          <w:sz w:val="20"/>
          <w:szCs w:val="20"/>
          <w:lang w:eastAsia="en-US"/>
        </w:rPr>
        <w:t>10.2 znanstvene publikacije, znanstveno recenzirane monografije, udeležba na konferencah (na primer kongresi, forumi, simpoziji, razstave, seminarji) ali drugih dogodkih, namenjenih Širjenju znanja v obliki učnih gradiv (študij), publikacij ali prenosa znanja (informacije o naslovih, avtorjih, znanstvenih področjih, ime revije ali založnika monografije, leto izdaje, vrsta publikacije, DOI, ISBN, ISSN)”.</w:t>
      </w:r>
    </w:p>
    <w:p w14:paraId="5F1A005E" w14:textId="77777777" w:rsidR="00D45189" w:rsidRPr="006C6318" w:rsidRDefault="00D45189" w:rsidP="006C6318">
      <w:pPr>
        <w:spacing w:after="160" w:line="276" w:lineRule="auto"/>
        <w:jc w:val="both"/>
        <w:rPr>
          <w:rFonts w:asciiTheme="minorHAnsi" w:eastAsiaTheme="minorHAnsi" w:hAnsiTheme="minorHAnsi" w:cstheme="minorHAnsi"/>
          <w:sz w:val="20"/>
          <w:szCs w:val="20"/>
          <w:lang w:eastAsia="en-US"/>
        </w:rPr>
      </w:pPr>
      <w:r w:rsidRPr="006C6318">
        <w:rPr>
          <w:rFonts w:asciiTheme="minorHAnsi" w:eastAsiaTheme="minorHAnsi" w:hAnsiTheme="minorHAnsi" w:cstheme="minorHAnsi"/>
          <w:sz w:val="20"/>
          <w:szCs w:val="20"/>
          <w:lang w:eastAsia="en-US"/>
        </w:rPr>
        <w:lastRenderedPageBreak/>
        <w:t>10.3 intelektualna lastnina, ustvarjena/pridobljena kot rezultat znanstvene dejavnosti (npr. patent, rastlinska sorta) (informacije o avtorjih, kraju vpisa in nazivu vpisnika, znanstvenem področju, vpisni številki, prioritetnem datumu prijave).</w:t>
      </w:r>
    </w:p>
    <w:p w14:paraId="038D07BE" w14:textId="77777777" w:rsidR="00D45189" w:rsidRPr="006C6318" w:rsidRDefault="00D45189" w:rsidP="006C6318">
      <w:pPr>
        <w:spacing w:after="160" w:line="276" w:lineRule="auto"/>
        <w:jc w:val="both"/>
        <w:rPr>
          <w:rFonts w:asciiTheme="minorHAnsi" w:eastAsiaTheme="minorHAnsi" w:hAnsiTheme="minorHAnsi" w:cstheme="minorHAnsi"/>
          <w:b/>
          <w:sz w:val="20"/>
          <w:szCs w:val="20"/>
          <w:lang w:eastAsia="en-US"/>
        </w:rPr>
      </w:pPr>
      <w:r w:rsidRPr="006C6318">
        <w:rPr>
          <w:rFonts w:asciiTheme="minorHAnsi" w:eastAsiaTheme="minorHAnsi" w:hAnsiTheme="minorHAnsi" w:cstheme="minorHAnsi"/>
          <w:b/>
          <w:sz w:val="20"/>
          <w:szCs w:val="20"/>
          <w:lang w:eastAsia="en-US"/>
        </w:rPr>
        <w:t>IV. FINANCIRANJE, STROŠKI IN PRIHODKI GOSPODARSKE DEJAVNOSTI</w:t>
      </w:r>
    </w:p>
    <w:p w14:paraId="546EC596" w14:textId="77777777" w:rsidR="00D45189" w:rsidRPr="006C6318" w:rsidRDefault="00D45189" w:rsidP="006C6318">
      <w:pPr>
        <w:spacing w:after="160" w:line="276" w:lineRule="auto"/>
        <w:jc w:val="both"/>
        <w:rPr>
          <w:rFonts w:asciiTheme="minorHAnsi" w:eastAsiaTheme="minorHAnsi" w:hAnsiTheme="minorHAnsi" w:cstheme="minorHAnsi"/>
          <w:sz w:val="20"/>
          <w:szCs w:val="20"/>
          <w:lang w:eastAsia="en-US"/>
        </w:rPr>
      </w:pPr>
      <w:r w:rsidRPr="006C6318">
        <w:rPr>
          <w:rFonts w:asciiTheme="minorHAnsi" w:eastAsiaTheme="minorHAnsi" w:hAnsiTheme="minorHAnsi" w:cstheme="minorHAnsi"/>
          <w:sz w:val="20"/>
          <w:szCs w:val="20"/>
          <w:lang w:eastAsia="en-US"/>
        </w:rPr>
        <w:t>11. Če se ugotovi, da subjekt opravlja tudi gospodarsko dejavnost, se preveri, če so financiranje, stroški in prihodki gospodarske dejavnosti knjiženi ločeno od osnovne negospodarske dejavnosti kot razvidno iz računovodskih izkazov in poročila o poslovanju za poslovna leta, oddanih AJPES ali drugih ustreznih računovodskih dokazil.</w:t>
      </w:r>
    </w:p>
    <w:p w14:paraId="389EE2DC" w14:textId="77777777" w:rsidR="00D45189" w:rsidRPr="006C6318" w:rsidRDefault="00D45189" w:rsidP="006C6318">
      <w:pPr>
        <w:spacing w:after="160" w:line="276" w:lineRule="auto"/>
        <w:jc w:val="both"/>
        <w:rPr>
          <w:rFonts w:asciiTheme="minorHAnsi" w:eastAsiaTheme="minorHAnsi" w:hAnsiTheme="minorHAnsi" w:cstheme="minorHAnsi"/>
          <w:b/>
          <w:sz w:val="20"/>
          <w:szCs w:val="20"/>
          <w:lang w:eastAsia="en-US"/>
        </w:rPr>
      </w:pPr>
      <w:r w:rsidRPr="006C6318">
        <w:rPr>
          <w:rFonts w:asciiTheme="minorHAnsi" w:eastAsiaTheme="minorHAnsi" w:hAnsiTheme="minorHAnsi" w:cstheme="minorHAnsi"/>
          <w:b/>
          <w:sz w:val="20"/>
          <w:szCs w:val="20"/>
          <w:lang w:eastAsia="en-US"/>
        </w:rPr>
        <w:t>V. ODLOČILEN VPLIV IN PREDNOSTNI DOSTOP DO REZULTATOV</w:t>
      </w:r>
    </w:p>
    <w:p w14:paraId="4271E3D2" w14:textId="77777777" w:rsidR="00D45189" w:rsidRPr="006C6318" w:rsidRDefault="00D45189" w:rsidP="006C6318">
      <w:pPr>
        <w:spacing w:after="160" w:line="276" w:lineRule="auto"/>
        <w:jc w:val="both"/>
        <w:rPr>
          <w:rFonts w:asciiTheme="minorHAnsi" w:eastAsiaTheme="minorHAnsi" w:hAnsiTheme="minorHAnsi" w:cstheme="minorHAnsi"/>
          <w:sz w:val="20"/>
          <w:szCs w:val="20"/>
          <w:lang w:eastAsia="en-US"/>
        </w:rPr>
      </w:pPr>
      <w:r w:rsidRPr="006C6318">
        <w:rPr>
          <w:rFonts w:asciiTheme="minorHAnsi" w:eastAsiaTheme="minorHAnsi" w:hAnsiTheme="minorHAnsi" w:cstheme="minorHAnsi"/>
          <w:sz w:val="20"/>
          <w:szCs w:val="20"/>
          <w:lang w:eastAsia="en-US"/>
        </w:rPr>
        <w:t>12. iz dokumentacije o delovanju subjekta kot je na primer program dela in razvoja, finančni načrt, letno poročilo, notranji pravilniki, protokoli ali druga relevantna dokumentacija, mora biti razvidno:</w:t>
      </w:r>
    </w:p>
    <w:p w14:paraId="263DB739" w14:textId="77777777" w:rsidR="00D45189" w:rsidRPr="006C6318" w:rsidRDefault="00D45189" w:rsidP="006C6318">
      <w:pPr>
        <w:spacing w:after="160" w:line="276" w:lineRule="auto"/>
        <w:jc w:val="both"/>
        <w:rPr>
          <w:rFonts w:asciiTheme="minorHAnsi" w:eastAsiaTheme="minorHAnsi" w:hAnsiTheme="minorHAnsi" w:cstheme="minorHAnsi"/>
          <w:sz w:val="20"/>
          <w:szCs w:val="20"/>
          <w:lang w:eastAsia="en-US"/>
        </w:rPr>
      </w:pPr>
      <w:r w:rsidRPr="006C6318">
        <w:rPr>
          <w:rFonts w:asciiTheme="minorHAnsi" w:eastAsiaTheme="minorHAnsi" w:hAnsiTheme="minorHAnsi" w:cstheme="minorHAnsi"/>
          <w:sz w:val="20"/>
          <w:szCs w:val="20"/>
          <w:lang w:eastAsia="en-US"/>
        </w:rPr>
        <w:t>12.1 da podjetja, ki imajo lahko odločilen vpliv na tak subjekt, na primer v vlogi delničarjev ali članov, nimajo prednostnega dostopa do rezultatov raziskav, ki jih je subjekt izvedel;</w:t>
      </w:r>
    </w:p>
    <w:p w14:paraId="28AAC792" w14:textId="77777777" w:rsidR="00D45189" w:rsidRPr="006C6318" w:rsidRDefault="00D45189" w:rsidP="006C6318">
      <w:pPr>
        <w:spacing w:after="160" w:line="276" w:lineRule="auto"/>
        <w:jc w:val="both"/>
        <w:rPr>
          <w:rFonts w:asciiTheme="minorHAnsi" w:eastAsiaTheme="minorHAnsi" w:hAnsiTheme="minorHAnsi" w:cstheme="minorHAnsi"/>
          <w:sz w:val="20"/>
          <w:szCs w:val="20"/>
          <w:lang w:eastAsia="en-US"/>
        </w:rPr>
      </w:pPr>
      <w:r w:rsidRPr="006C6318">
        <w:rPr>
          <w:rFonts w:asciiTheme="minorHAnsi" w:eastAsiaTheme="minorHAnsi" w:hAnsiTheme="minorHAnsi" w:cstheme="minorHAnsi"/>
          <w:sz w:val="20"/>
          <w:szCs w:val="20"/>
          <w:lang w:eastAsia="en-US"/>
        </w:rPr>
        <w:t>12.2 da subjekt izvaja obsežno razširjanje rezultatov Neodvisnega raziskovanja in komercializacijo intelektualne lastnine skladno z Zakonom o izumih z delovnega razmerja</w:t>
      </w:r>
      <w:r w:rsidRPr="006C6318">
        <w:rPr>
          <w:rFonts w:asciiTheme="minorHAnsi" w:eastAsiaTheme="minorHAnsi" w:hAnsiTheme="minorHAnsi" w:cstheme="minorHAnsi"/>
          <w:sz w:val="20"/>
          <w:szCs w:val="20"/>
          <w:vertAlign w:val="superscript"/>
          <w:lang w:eastAsia="en-US"/>
        </w:rPr>
        <w:footnoteReference w:id="13"/>
      </w:r>
      <w:r w:rsidRPr="006C6318">
        <w:rPr>
          <w:rFonts w:asciiTheme="minorHAnsi" w:eastAsiaTheme="minorHAnsi" w:hAnsiTheme="minorHAnsi" w:cstheme="minorHAnsi"/>
          <w:sz w:val="20"/>
          <w:szCs w:val="20"/>
          <w:lang w:eastAsia="en-US"/>
        </w:rPr>
        <w:t xml:space="preserve"> in na način kot opisuje Okvir za državno pomoč za raziskave, razvoj in inovacije</w:t>
      </w:r>
      <w:r w:rsidRPr="006C6318">
        <w:rPr>
          <w:rFonts w:asciiTheme="minorHAnsi" w:eastAsiaTheme="minorHAnsi" w:hAnsiTheme="minorHAnsi" w:cstheme="minorHAnsi"/>
          <w:sz w:val="20"/>
          <w:szCs w:val="20"/>
          <w:vertAlign w:val="superscript"/>
          <w:lang w:eastAsia="en-US"/>
        </w:rPr>
        <w:footnoteReference w:id="14"/>
      </w:r>
      <w:r w:rsidRPr="006C6318">
        <w:rPr>
          <w:rFonts w:asciiTheme="minorHAnsi" w:eastAsiaTheme="minorHAnsi" w:hAnsiTheme="minorHAnsi" w:cstheme="minorHAnsi"/>
          <w:sz w:val="20"/>
          <w:szCs w:val="20"/>
          <w:lang w:eastAsia="en-US"/>
        </w:rPr>
        <w:t xml:space="preserve"> za projekte učinkovitega sodelovanja s podjetji;</w:t>
      </w:r>
    </w:p>
    <w:p w14:paraId="3AB6F8EB" w14:textId="77777777" w:rsidR="00D45189" w:rsidRPr="006C6318" w:rsidRDefault="00D45189" w:rsidP="006C6318">
      <w:pPr>
        <w:spacing w:after="160" w:line="276" w:lineRule="auto"/>
        <w:jc w:val="both"/>
        <w:rPr>
          <w:rFonts w:asciiTheme="minorHAnsi" w:eastAsiaTheme="minorHAnsi" w:hAnsiTheme="minorHAnsi" w:cstheme="minorHAnsi"/>
          <w:sz w:val="20"/>
          <w:szCs w:val="20"/>
          <w:lang w:eastAsia="en-US"/>
        </w:rPr>
      </w:pPr>
      <w:r w:rsidRPr="006C6318">
        <w:rPr>
          <w:rFonts w:asciiTheme="minorHAnsi" w:eastAsiaTheme="minorHAnsi" w:hAnsiTheme="minorHAnsi" w:cstheme="minorHAnsi"/>
          <w:sz w:val="20"/>
          <w:szCs w:val="20"/>
          <w:lang w:eastAsia="en-US"/>
        </w:rPr>
        <w:t>12.3 da so ustrezno dokumentirane informacije, navedene v Samoopredelitvi, o politiki upravljanja intelektualne lastnine in znanja, pridobljenega v okviru raziskav subjekta, in po potrebi načrta ravnanja z raziskovalnimi podatki.</w:t>
      </w:r>
    </w:p>
    <w:p w14:paraId="187810C9" w14:textId="77777777" w:rsidR="00D45189" w:rsidRPr="006C6318" w:rsidRDefault="00D45189" w:rsidP="006C6318">
      <w:pPr>
        <w:spacing w:after="160" w:line="276" w:lineRule="auto"/>
        <w:jc w:val="both"/>
        <w:rPr>
          <w:rFonts w:asciiTheme="minorHAnsi" w:eastAsiaTheme="minorHAnsi" w:hAnsiTheme="minorHAnsi" w:cstheme="minorHAnsi"/>
          <w:b/>
          <w:sz w:val="20"/>
          <w:szCs w:val="20"/>
          <w:lang w:eastAsia="en-US"/>
        </w:rPr>
      </w:pPr>
      <w:r w:rsidRPr="006C6318">
        <w:rPr>
          <w:rFonts w:asciiTheme="minorHAnsi" w:eastAsiaTheme="minorHAnsi" w:hAnsiTheme="minorHAnsi" w:cstheme="minorHAnsi"/>
          <w:b/>
          <w:sz w:val="20"/>
          <w:szCs w:val="20"/>
          <w:lang w:eastAsia="en-US"/>
        </w:rPr>
        <w:t>VI. KONČNA VPRAŠANJA</w:t>
      </w:r>
    </w:p>
    <w:p w14:paraId="5128B873" w14:textId="77777777" w:rsidR="00D45189" w:rsidRPr="006C6318" w:rsidRDefault="00D45189" w:rsidP="006C6318">
      <w:pPr>
        <w:spacing w:after="160" w:line="276" w:lineRule="auto"/>
        <w:jc w:val="both"/>
        <w:rPr>
          <w:rFonts w:asciiTheme="minorHAnsi" w:eastAsiaTheme="minorHAnsi" w:hAnsiTheme="minorHAnsi" w:cstheme="minorHAnsi"/>
          <w:sz w:val="20"/>
          <w:szCs w:val="20"/>
          <w:lang w:eastAsia="en-US"/>
        </w:rPr>
      </w:pPr>
      <w:r w:rsidRPr="006C6318">
        <w:rPr>
          <w:rFonts w:asciiTheme="minorHAnsi" w:eastAsiaTheme="minorHAnsi" w:hAnsiTheme="minorHAnsi" w:cstheme="minorHAnsi"/>
          <w:sz w:val="20"/>
          <w:szCs w:val="20"/>
          <w:lang w:eastAsia="en-US"/>
        </w:rPr>
        <w:t>13. Pri ocenjevanju skladnosti z raziskovalno organizacijo se upoštevajo zahteve, določene v ustreznem ukrepu/aktivnosti Programa evropske kohezijske politike v obdobju 2021-2027 v Sloveniji. ARIS ima pravico določiti dodatne dokumentirane informacije za oceno navedene skladnosti, ob upoštevanju Uredbe, ustreznih zakonov in sodne prakse.</w:t>
      </w:r>
    </w:p>
    <w:p w14:paraId="2238EDEB" w14:textId="77777777" w:rsidR="00D45189" w:rsidRPr="006C6318" w:rsidRDefault="00D45189" w:rsidP="006C6318">
      <w:pPr>
        <w:spacing w:after="160" w:line="276" w:lineRule="auto"/>
        <w:jc w:val="both"/>
        <w:rPr>
          <w:rFonts w:asciiTheme="minorHAnsi" w:eastAsiaTheme="minorHAnsi" w:hAnsiTheme="minorHAnsi" w:cstheme="minorHAnsi"/>
          <w:sz w:val="20"/>
          <w:szCs w:val="20"/>
          <w:lang w:eastAsia="en-US"/>
        </w:rPr>
      </w:pPr>
      <w:r w:rsidRPr="006C6318">
        <w:rPr>
          <w:rFonts w:asciiTheme="minorHAnsi" w:eastAsiaTheme="minorHAnsi" w:hAnsiTheme="minorHAnsi" w:cstheme="minorHAnsi"/>
          <w:sz w:val="20"/>
          <w:szCs w:val="20"/>
          <w:lang w:eastAsia="en-US"/>
        </w:rPr>
        <w:t>14. Pri presoji skladnosti z raziskovalno organizacijo ima ARIS pravico upoštevati druge razpoložljive informacije.</w:t>
      </w:r>
    </w:p>
    <w:p w14:paraId="7D0C178D" w14:textId="77777777" w:rsidR="00D45189" w:rsidRPr="006C6318" w:rsidRDefault="00D45189" w:rsidP="006C6318">
      <w:pPr>
        <w:spacing w:after="160" w:line="276" w:lineRule="auto"/>
        <w:jc w:val="both"/>
        <w:rPr>
          <w:rFonts w:asciiTheme="minorHAnsi" w:eastAsiaTheme="minorHAnsi" w:hAnsiTheme="minorHAnsi" w:cstheme="minorHAnsi"/>
          <w:sz w:val="20"/>
          <w:szCs w:val="20"/>
          <w:lang w:eastAsia="en-US"/>
        </w:rPr>
      </w:pPr>
    </w:p>
    <w:p w14:paraId="53F06B7E" w14:textId="77777777" w:rsidR="00D45189" w:rsidRPr="006C6318" w:rsidRDefault="00D45189" w:rsidP="006C6318">
      <w:pPr>
        <w:spacing w:after="160" w:line="276" w:lineRule="auto"/>
        <w:jc w:val="both"/>
        <w:rPr>
          <w:rFonts w:asciiTheme="minorHAnsi" w:eastAsiaTheme="minorEastAsia" w:hAnsiTheme="minorHAnsi" w:cstheme="minorHAnsi"/>
          <w:sz w:val="20"/>
          <w:szCs w:val="20"/>
          <w:lang w:eastAsia="en-US"/>
        </w:rPr>
      </w:pPr>
      <w:r w:rsidRPr="006C6318">
        <w:rPr>
          <w:rFonts w:asciiTheme="minorHAnsi" w:eastAsiaTheme="minorEastAsia" w:hAnsiTheme="minorHAnsi" w:cstheme="minorHAnsi"/>
          <w:b/>
          <w:bCs/>
          <w:sz w:val="20"/>
          <w:szCs w:val="20"/>
          <w:lang w:eastAsia="en-US"/>
        </w:rPr>
        <w:t>Priloga:</w:t>
      </w:r>
      <w:r w:rsidRPr="006C6318">
        <w:rPr>
          <w:rFonts w:asciiTheme="minorHAnsi" w:eastAsiaTheme="minorEastAsia" w:hAnsiTheme="minorHAnsi" w:cstheme="minorHAnsi"/>
          <w:sz w:val="20"/>
          <w:szCs w:val="20"/>
          <w:lang w:eastAsia="en-US"/>
        </w:rPr>
        <w:t xml:space="preserve"> Izjava o opredelitvi kot organizacija za raziskave in širjenje znanja (OBRAZEC 8).</w:t>
      </w:r>
    </w:p>
    <w:p w14:paraId="1D4B95BF" w14:textId="401B273E" w:rsidR="00FB000A" w:rsidRPr="006C6318" w:rsidRDefault="00FB000A" w:rsidP="006C6318">
      <w:pPr>
        <w:spacing w:after="160" w:line="276" w:lineRule="auto"/>
        <w:rPr>
          <w:rFonts w:asciiTheme="minorHAnsi" w:eastAsiaTheme="minorHAnsi" w:hAnsiTheme="minorHAnsi" w:cstheme="minorHAnsi"/>
          <w:b/>
          <w:caps/>
          <w:sz w:val="20"/>
          <w:szCs w:val="20"/>
          <w:lang w:eastAsia="en-US"/>
        </w:rPr>
      </w:pPr>
    </w:p>
    <w:sectPr w:rsidR="00FB000A" w:rsidRPr="006C6318">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E89D2E" w14:textId="77777777" w:rsidR="00AA311D" w:rsidRDefault="00AA311D" w:rsidP="00580424">
      <w:r>
        <w:separator/>
      </w:r>
    </w:p>
  </w:endnote>
  <w:endnote w:type="continuationSeparator" w:id="0">
    <w:p w14:paraId="25CC20DF" w14:textId="77777777" w:rsidR="00AA311D" w:rsidRDefault="00AA311D" w:rsidP="005804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CA76ED" w14:textId="77777777" w:rsidR="00AD5A2C" w:rsidRDefault="00AD5A2C">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AB4EA0" w14:textId="77777777" w:rsidR="00AD5A2C" w:rsidRDefault="00AD5A2C">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2F5310" w14:textId="77777777" w:rsidR="00AD5A2C" w:rsidRDefault="00AD5A2C">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0CDC59" w14:textId="77777777" w:rsidR="00AA311D" w:rsidRDefault="00AA311D" w:rsidP="00580424">
      <w:r>
        <w:separator/>
      </w:r>
    </w:p>
  </w:footnote>
  <w:footnote w:type="continuationSeparator" w:id="0">
    <w:p w14:paraId="769A9CE5" w14:textId="77777777" w:rsidR="00AA311D" w:rsidRDefault="00AA311D" w:rsidP="00580424">
      <w:r>
        <w:continuationSeparator/>
      </w:r>
    </w:p>
  </w:footnote>
  <w:footnote w:id="1">
    <w:p w14:paraId="65AF1C09" w14:textId="77777777" w:rsidR="00D45189" w:rsidRPr="006C6318" w:rsidRDefault="00D45189" w:rsidP="006C6318">
      <w:pPr>
        <w:pStyle w:val="Sprotnaopomba-besedilo"/>
        <w:jc w:val="both"/>
        <w:rPr>
          <w:rFonts w:asciiTheme="minorHAnsi" w:hAnsiTheme="minorHAnsi" w:cstheme="minorHAnsi"/>
          <w:sz w:val="18"/>
          <w:szCs w:val="18"/>
        </w:rPr>
      </w:pPr>
      <w:r w:rsidRPr="006C6318">
        <w:rPr>
          <w:rStyle w:val="Sprotnaopomba-sklic"/>
          <w:rFonts w:asciiTheme="minorHAnsi" w:hAnsiTheme="minorHAnsi" w:cstheme="minorHAnsi"/>
          <w:sz w:val="18"/>
          <w:szCs w:val="18"/>
        </w:rPr>
        <w:footnoteRef/>
      </w:r>
      <w:r w:rsidRPr="006C6318">
        <w:rPr>
          <w:rFonts w:asciiTheme="minorHAnsi" w:hAnsiTheme="minorHAnsi" w:cstheme="minorHAnsi"/>
          <w:sz w:val="18"/>
          <w:szCs w:val="18"/>
        </w:rPr>
        <w:t xml:space="preserve"> Uredba Komisije (EU) št. 651/2014 z dne 17. junija 2014 o razglasitvi nekaterih vrst pomoči za združljive z notranjim trgom pri uporabi členov 107 in 108 Pogodbe (besedilo velja za EGP </w:t>
      </w:r>
      <w:hyperlink r:id="rId1" w:history="1">
        <w:r w:rsidRPr="006C6318">
          <w:rPr>
            <w:rStyle w:val="Hiperpovezava"/>
            <w:rFonts w:asciiTheme="minorHAnsi" w:hAnsiTheme="minorHAnsi" w:cstheme="minorHAnsi"/>
            <w:sz w:val="18"/>
            <w:szCs w:val="18"/>
          </w:rPr>
          <w:t>https://eur-lex.europa.eu/legal-content/SL/TXT/HTML/?uri=CELEX:02014R0651-20230701</w:t>
        </w:r>
      </w:hyperlink>
      <w:r w:rsidRPr="006C6318">
        <w:rPr>
          <w:rFonts w:asciiTheme="minorHAnsi" w:hAnsiTheme="minorHAnsi" w:cstheme="minorHAnsi"/>
          <w:sz w:val="18"/>
          <w:szCs w:val="18"/>
        </w:rPr>
        <w:t xml:space="preserve"> (13. 10. 2024)</w:t>
      </w:r>
    </w:p>
  </w:footnote>
  <w:footnote w:id="2">
    <w:p w14:paraId="09D36DCC" w14:textId="77777777" w:rsidR="00D45189" w:rsidRPr="006C6318" w:rsidRDefault="00D45189" w:rsidP="006C6318">
      <w:pPr>
        <w:pStyle w:val="Sprotnaopomba-besedilo"/>
        <w:jc w:val="both"/>
        <w:rPr>
          <w:rFonts w:asciiTheme="minorHAnsi" w:hAnsiTheme="minorHAnsi" w:cstheme="minorHAnsi"/>
          <w:sz w:val="18"/>
          <w:szCs w:val="18"/>
        </w:rPr>
      </w:pPr>
      <w:r w:rsidRPr="006C6318">
        <w:rPr>
          <w:rStyle w:val="Sprotnaopomba-sklic"/>
          <w:rFonts w:asciiTheme="minorHAnsi" w:hAnsiTheme="minorHAnsi" w:cstheme="minorHAnsi"/>
          <w:sz w:val="18"/>
          <w:szCs w:val="18"/>
        </w:rPr>
        <w:footnoteRef/>
      </w:r>
      <w:r w:rsidRPr="006C6318">
        <w:rPr>
          <w:rFonts w:asciiTheme="minorHAnsi" w:hAnsiTheme="minorHAnsi" w:cstheme="minorHAnsi"/>
          <w:sz w:val="18"/>
          <w:szCs w:val="18"/>
        </w:rPr>
        <w:t xml:space="preserve">  Sodba Sodišča Evropske unije z dne 13. oktobra 2022 v združenih zadevah C-164/21 in C-318/21  </w:t>
      </w:r>
      <w:hyperlink r:id="rId2" w:history="1">
        <w:r w:rsidRPr="006C6318">
          <w:rPr>
            <w:rStyle w:val="Hiperpovezava"/>
            <w:rFonts w:asciiTheme="minorHAnsi" w:hAnsiTheme="minorHAnsi" w:cstheme="minorHAnsi"/>
            <w:sz w:val="18"/>
            <w:szCs w:val="18"/>
          </w:rPr>
          <w:t>https://eur-lex.europa.eu/legal-content/EN/TXT/?uri=CELEX%3A62021CJ0164</w:t>
        </w:r>
      </w:hyperlink>
      <w:r w:rsidRPr="006C6318">
        <w:rPr>
          <w:rFonts w:asciiTheme="minorHAnsi" w:hAnsiTheme="minorHAnsi" w:cstheme="minorHAnsi"/>
          <w:sz w:val="18"/>
          <w:szCs w:val="18"/>
        </w:rPr>
        <w:t xml:space="preserve"> (13. 10. 2024)</w:t>
      </w:r>
    </w:p>
  </w:footnote>
  <w:footnote w:id="3">
    <w:p w14:paraId="0F27ED80" w14:textId="77777777" w:rsidR="00D45189" w:rsidRPr="006C6318" w:rsidRDefault="00D45189" w:rsidP="006C6318">
      <w:pPr>
        <w:pStyle w:val="Sprotnaopomba-besedilo"/>
        <w:jc w:val="both"/>
        <w:rPr>
          <w:rFonts w:asciiTheme="minorHAnsi" w:hAnsiTheme="minorHAnsi" w:cstheme="minorHAnsi"/>
          <w:sz w:val="18"/>
          <w:szCs w:val="18"/>
        </w:rPr>
      </w:pPr>
      <w:r w:rsidRPr="006C6318">
        <w:rPr>
          <w:rStyle w:val="Sprotnaopomba-sklic"/>
          <w:rFonts w:asciiTheme="minorHAnsi" w:hAnsiTheme="minorHAnsi" w:cstheme="minorHAnsi"/>
          <w:sz w:val="18"/>
          <w:szCs w:val="18"/>
        </w:rPr>
        <w:footnoteRef/>
      </w:r>
      <w:r w:rsidRPr="006C6318">
        <w:rPr>
          <w:rFonts w:asciiTheme="minorHAnsi" w:hAnsiTheme="minorHAnsi" w:cstheme="minorHAnsi"/>
          <w:sz w:val="18"/>
          <w:szCs w:val="18"/>
        </w:rPr>
        <w:t xml:space="preserve">   Sklepi generalnega </w:t>
      </w:r>
      <w:proofErr w:type="spellStart"/>
      <w:r w:rsidRPr="006C6318">
        <w:rPr>
          <w:rFonts w:asciiTheme="minorHAnsi" w:hAnsiTheme="minorHAnsi" w:cstheme="minorHAnsi"/>
          <w:sz w:val="18"/>
          <w:szCs w:val="18"/>
        </w:rPr>
        <w:t>prvobranilca</w:t>
      </w:r>
      <w:proofErr w:type="spellEnd"/>
      <w:r w:rsidRPr="006C6318">
        <w:rPr>
          <w:rFonts w:asciiTheme="minorHAnsi" w:hAnsiTheme="minorHAnsi" w:cstheme="minorHAnsi"/>
          <w:sz w:val="18"/>
          <w:szCs w:val="18"/>
        </w:rPr>
        <w:t>, dostavljeno dne 28. aprila 2022 v združenih zadevah C</w:t>
      </w:r>
      <w:r w:rsidRPr="006C6318">
        <w:rPr>
          <w:rFonts w:ascii="Cambria Math" w:hAnsi="Cambria Math" w:cs="Cambria Math"/>
          <w:sz w:val="18"/>
          <w:szCs w:val="18"/>
        </w:rPr>
        <w:t>‑</w:t>
      </w:r>
      <w:r w:rsidRPr="006C6318">
        <w:rPr>
          <w:rFonts w:asciiTheme="minorHAnsi" w:hAnsiTheme="minorHAnsi" w:cstheme="minorHAnsi"/>
          <w:sz w:val="18"/>
          <w:szCs w:val="18"/>
        </w:rPr>
        <w:t>164/21 in C</w:t>
      </w:r>
      <w:r w:rsidRPr="006C6318">
        <w:rPr>
          <w:rFonts w:ascii="Cambria Math" w:hAnsi="Cambria Math" w:cs="Cambria Math"/>
          <w:sz w:val="18"/>
          <w:szCs w:val="18"/>
        </w:rPr>
        <w:t>‑</w:t>
      </w:r>
      <w:r w:rsidRPr="006C6318">
        <w:rPr>
          <w:rFonts w:asciiTheme="minorHAnsi" w:hAnsiTheme="minorHAnsi" w:cstheme="minorHAnsi"/>
          <w:sz w:val="18"/>
          <w:szCs w:val="18"/>
        </w:rPr>
        <w:t xml:space="preserve">318/21 </w:t>
      </w:r>
      <w:hyperlink r:id="rId3" w:history="1">
        <w:r w:rsidRPr="006C6318">
          <w:rPr>
            <w:rStyle w:val="Hiperpovezava"/>
            <w:rFonts w:asciiTheme="minorHAnsi" w:hAnsiTheme="minorHAnsi" w:cstheme="minorHAnsi"/>
            <w:sz w:val="18"/>
            <w:szCs w:val="18"/>
          </w:rPr>
          <w:t>https://eur-lex.europa.eu/legal-content/en/TXT/?uri=CELEX:62021CC0318</w:t>
        </w:r>
      </w:hyperlink>
      <w:r w:rsidRPr="006C6318">
        <w:rPr>
          <w:rFonts w:asciiTheme="minorHAnsi" w:hAnsiTheme="minorHAnsi" w:cstheme="minorHAnsi"/>
          <w:sz w:val="18"/>
          <w:szCs w:val="18"/>
        </w:rPr>
        <w:t xml:space="preserve"> (13. 10. 2024)</w:t>
      </w:r>
    </w:p>
  </w:footnote>
  <w:footnote w:id="4">
    <w:p w14:paraId="09CEF86F" w14:textId="77777777" w:rsidR="00D45189" w:rsidRPr="006C6318" w:rsidRDefault="00D45189" w:rsidP="006C6318">
      <w:pPr>
        <w:pStyle w:val="Sprotnaopomba-besedilo"/>
        <w:jc w:val="both"/>
        <w:rPr>
          <w:rFonts w:asciiTheme="minorHAnsi" w:hAnsiTheme="minorHAnsi" w:cstheme="minorHAnsi"/>
          <w:sz w:val="18"/>
          <w:szCs w:val="18"/>
        </w:rPr>
      </w:pPr>
      <w:r w:rsidRPr="006C6318">
        <w:rPr>
          <w:rStyle w:val="Sprotnaopomba-sklic"/>
          <w:rFonts w:asciiTheme="minorHAnsi" w:hAnsiTheme="minorHAnsi" w:cstheme="minorHAnsi"/>
          <w:sz w:val="18"/>
          <w:szCs w:val="18"/>
        </w:rPr>
        <w:footnoteRef/>
      </w:r>
      <w:r w:rsidRPr="006C6318">
        <w:rPr>
          <w:rFonts w:asciiTheme="minorHAnsi" w:hAnsiTheme="minorHAnsi" w:cstheme="minorHAnsi"/>
          <w:sz w:val="18"/>
          <w:szCs w:val="18"/>
        </w:rPr>
        <w:t xml:space="preserve"> Mnenje generalnega </w:t>
      </w:r>
      <w:proofErr w:type="spellStart"/>
      <w:r w:rsidRPr="006C6318">
        <w:rPr>
          <w:rFonts w:asciiTheme="minorHAnsi" w:hAnsiTheme="minorHAnsi" w:cstheme="minorHAnsi"/>
          <w:sz w:val="18"/>
          <w:szCs w:val="18"/>
        </w:rPr>
        <w:t>prvobranilca</w:t>
      </w:r>
      <w:proofErr w:type="spellEnd"/>
      <w:r w:rsidRPr="006C6318">
        <w:rPr>
          <w:rFonts w:asciiTheme="minorHAnsi" w:hAnsiTheme="minorHAnsi" w:cstheme="minorHAnsi"/>
          <w:sz w:val="18"/>
          <w:szCs w:val="18"/>
        </w:rPr>
        <w:t xml:space="preserve"> dostavljeno dne 28. aprila 2022 v združenih zadevah C</w:t>
      </w:r>
      <w:r w:rsidRPr="006C6318">
        <w:rPr>
          <w:rFonts w:ascii="Cambria Math" w:hAnsi="Cambria Math" w:cs="Cambria Math"/>
          <w:sz w:val="18"/>
          <w:szCs w:val="18"/>
        </w:rPr>
        <w:t>‑</w:t>
      </w:r>
      <w:r w:rsidRPr="006C6318">
        <w:rPr>
          <w:rFonts w:asciiTheme="minorHAnsi" w:hAnsiTheme="minorHAnsi" w:cstheme="minorHAnsi"/>
          <w:sz w:val="18"/>
          <w:szCs w:val="18"/>
        </w:rPr>
        <w:t>164/21 in C</w:t>
      </w:r>
      <w:r w:rsidRPr="006C6318">
        <w:rPr>
          <w:rFonts w:ascii="Cambria Math" w:hAnsi="Cambria Math" w:cs="Cambria Math"/>
          <w:sz w:val="18"/>
          <w:szCs w:val="18"/>
        </w:rPr>
        <w:t>‑</w:t>
      </w:r>
      <w:r w:rsidRPr="006C6318">
        <w:rPr>
          <w:rFonts w:asciiTheme="minorHAnsi" w:hAnsiTheme="minorHAnsi" w:cstheme="minorHAnsi"/>
          <w:sz w:val="18"/>
          <w:szCs w:val="18"/>
        </w:rPr>
        <w:t xml:space="preserve">318/21: </w:t>
      </w:r>
      <w:hyperlink r:id="rId4" w:history="1">
        <w:r w:rsidRPr="006C6318">
          <w:rPr>
            <w:rStyle w:val="Hiperpovezava"/>
            <w:rFonts w:asciiTheme="minorHAnsi" w:hAnsiTheme="minorHAnsi" w:cstheme="minorHAnsi"/>
            <w:sz w:val="18"/>
            <w:szCs w:val="18"/>
          </w:rPr>
          <w:t>https://eur-lex.europa.eu/legal-content/en/TXT/?uri=CELEX:62021CC0318</w:t>
        </w:r>
      </w:hyperlink>
      <w:r w:rsidRPr="006C6318">
        <w:rPr>
          <w:rFonts w:asciiTheme="minorHAnsi" w:hAnsiTheme="minorHAnsi" w:cstheme="minorHAnsi"/>
          <w:sz w:val="18"/>
          <w:szCs w:val="18"/>
        </w:rPr>
        <w:t xml:space="preserve"> (13. 10. 2024)</w:t>
      </w:r>
    </w:p>
  </w:footnote>
  <w:footnote w:id="5">
    <w:p w14:paraId="641D5EE3" w14:textId="77777777" w:rsidR="00D45189" w:rsidRPr="006C6318" w:rsidRDefault="00D45189" w:rsidP="006C6318">
      <w:pPr>
        <w:pStyle w:val="Sprotnaopomba-besedilo"/>
        <w:jc w:val="both"/>
        <w:rPr>
          <w:rFonts w:asciiTheme="minorHAnsi" w:hAnsiTheme="minorHAnsi" w:cstheme="minorHAnsi"/>
          <w:sz w:val="18"/>
          <w:szCs w:val="18"/>
        </w:rPr>
      </w:pPr>
      <w:r w:rsidRPr="006C6318">
        <w:rPr>
          <w:rStyle w:val="Sprotnaopomba-sklic"/>
          <w:rFonts w:asciiTheme="minorHAnsi" w:hAnsiTheme="minorHAnsi" w:cstheme="minorHAnsi"/>
          <w:sz w:val="18"/>
          <w:szCs w:val="18"/>
        </w:rPr>
        <w:footnoteRef/>
      </w:r>
      <w:r w:rsidRPr="006C6318">
        <w:rPr>
          <w:rFonts w:asciiTheme="minorHAnsi" w:hAnsiTheme="minorHAnsi" w:cstheme="minorHAnsi"/>
          <w:sz w:val="18"/>
          <w:szCs w:val="18"/>
        </w:rPr>
        <w:t xml:space="preserve"> </w:t>
      </w:r>
      <w:proofErr w:type="spellStart"/>
      <w:r w:rsidRPr="006C6318">
        <w:rPr>
          <w:rFonts w:asciiTheme="minorHAnsi" w:hAnsiTheme="minorHAnsi" w:cstheme="minorHAnsi"/>
          <w:sz w:val="18"/>
          <w:szCs w:val="18"/>
        </w:rPr>
        <w:t>Ibid</w:t>
      </w:r>
      <w:proofErr w:type="spellEnd"/>
      <w:r w:rsidRPr="006C6318">
        <w:rPr>
          <w:rFonts w:asciiTheme="minorHAnsi" w:hAnsiTheme="minorHAnsi" w:cstheme="minorHAnsi"/>
          <w:sz w:val="18"/>
          <w:szCs w:val="18"/>
        </w:rPr>
        <w:t xml:space="preserve"> - v istem dokumentu kot ostale navedbe</w:t>
      </w:r>
    </w:p>
  </w:footnote>
  <w:footnote w:id="6">
    <w:p w14:paraId="55CE1CE1" w14:textId="77777777" w:rsidR="00D45189" w:rsidRPr="006C6318" w:rsidRDefault="00D45189" w:rsidP="006C6318">
      <w:pPr>
        <w:pStyle w:val="Sprotnaopomba-besedilo"/>
        <w:jc w:val="both"/>
        <w:rPr>
          <w:rFonts w:asciiTheme="minorHAnsi" w:hAnsiTheme="minorHAnsi" w:cstheme="minorHAnsi"/>
          <w:sz w:val="18"/>
          <w:szCs w:val="18"/>
        </w:rPr>
      </w:pPr>
      <w:bookmarkStart w:id="3" w:name="_Hlk182408536"/>
      <w:r w:rsidRPr="006C6318">
        <w:rPr>
          <w:rStyle w:val="Sprotnaopomba-sklic"/>
          <w:rFonts w:asciiTheme="minorHAnsi" w:hAnsiTheme="minorHAnsi" w:cstheme="minorHAnsi"/>
          <w:sz w:val="18"/>
          <w:szCs w:val="18"/>
        </w:rPr>
        <w:footnoteRef/>
      </w:r>
      <w:r w:rsidRPr="006C6318">
        <w:rPr>
          <w:rFonts w:asciiTheme="minorHAnsi" w:hAnsiTheme="minorHAnsi" w:cstheme="minorHAnsi"/>
          <w:sz w:val="18"/>
          <w:szCs w:val="18"/>
        </w:rPr>
        <w:t xml:space="preserve"> Sporočilo Komisije, Okvir za državno pomoč za raziskave, razvoj in inovacije (2022/C 414/01), točka 15: »</w:t>
      </w:r>
      <w:r w:rsidRPr="006C6318">
        <w:rPr>
          <w:rFonts w:asciiTheme="minorHAnsi" w:hAnsiTheme="minorHAnsi" w:cstheme="minorHAnsi"/>
          <w:i/>
          <w:sz w:val="18"/>
          <w:szCs w:val="18"/>
        </w:rPr>
        <w:t>„prenos znanja“ pomeni vsak postopek, katerega cilj je pridobivanje, zbiranje in razširjanje eksplicitnega in tihega znanja, vključno s spretnostmi in kompetencami na področju gospodarskih in negospodarskih dejavnosti, kot so sodelovanje pri raziskavah, svetovanje, licenciranje, ustvarjanje odcepljenih podjetij, objave ter mobilnost raziskovalcev in drugih zaposlenih, ki sodelujejo pri teh dejavnostih. Poleg znanstvenega in tehnološkega znanja vključuje še druge vrste znanj, kot je znanje o uporabi standardov in predpisov, ki jih zajemajo, ter o pogojih okolij vsakdanjega obratovanja in metodah za organizacijske inovacije, pa tudi o upravljanju znanja, ki se nanaša na opredelitev, pridobivanje, zaščito, obrambo in izkoriščanje neopredmetenih sredstev</w:t>
      </w:r>
      <w:r w:rsidRPr="006C6318">
        <w:rPr>
          <w:rFonts w:asciiTheme="minorHAnsi" w:hAnsiTheme="minorHAnsi" w:cstheme="minorHAnsi"/>
          <w:sz w:val="18"/>
          <w:szCs w:val="18"/>
        </w:rPr>
        <w:t xml:space="preserve">«, </w:t>
      </w:r>
      <w:hyperlink r:id="rId5" w:history="1">
        <w:r w:rsidRPr="006C6318">
          <w:rPr>
            <w:rStyle w:val="Hiperpovezava"/>
            <w:rFonts w:asciiTheme="minorHAnsi" w:hAnsiTheme="minorHAnsi" w:cstheme="minorHAnsi"/>
            <w:sz w:val="18"/>
            <w:szCs w:val="18"/>
          </w:rPr>
          <w:t>https://eur-lex.europa.eu/legal-content/EN/TXT/?uri=celex%3A52022XC1028%2803%29</w:t>
        </w:r>
      </w:hyperlink>
      <w:r w:rsidRPr="006C6318">
        <w:rPr>
          <w:rFonts w:asciiTheme="minorHAnsi" w:hAnsiTheme="minorHAnsi" w:cstheme="minorHAnsi"/>
          <w:sz w:val="18"/>
          <w:szCs w:val="18"/>
        </w:rPr>
        <w:t xml:space="preserve"> (13. 10. 2024)</w:t>
      </w:r>
    </w:p>
    <w:bookmarkEnd w:id="3"/>
  </w:footnote>
  <w:footnote w:id="7">
    <w:p w14:paraId="5F36CB96" w14:textId="77777777" w:rsidR="00D45189" w:rsidRPr="006C6318" w:rsidRDefault="00D45189" w:rsidP="00D45189">
      <w:pPr>
        <w:pStyle w:val="Sprotnaopomba-besedilo"/>
        <w:rPr>
          <w:rFonts w:asciiTheme="minorHAnsi" w:hAnsiTheme="minorHAnsi" w:cstheme="minorHAnsi"/>
          <w:sz w:val="16"/>
          <w:szCs w:val="16"/>
        </w:rPr>
      </w:pPr>
      <w:r w:rsidRPr="006C6318">
        <w:rPr>
          <w:rStyle w:val="Sprotnaopomba-sklic"/>
          <w:rFonts w:asciiTheme="minorHAnsi" w:hAnsiTheme="minorHAnsi" w:cstheme="minorHAnsi"/>
          <w:sz w:val="16"/>
          <w:szCs w:val="16"/>
        </w:rPr>
        <w:footnoteRef/>
      </w:r>
      <w:r w:rsidRPr="006C6318">
        <w:rPr>
          <w:rFonts w:asciiTheme="minorHAnsi" w:hAnsiTheme="minorHAnsi" w:cstheme="minorHAnsi"/>
          <w:sz w:val="16"/>
          <w:szCs w:val="16"/>
        </w:rPr>
        <w:t xml:space="preserve"> Zakon o računovodstvu: </w:t>
      </w:r>
      <w:hyperlink r:id="rId6" w:history="1">
        <w:r w:rsidRPr="006C6318">
          <w:rPr>
            <w:rStyle w:val="Hiperpovezava"/>
            <w:rFonts w:asciiTheme="minorHAnsi" w:hAnsiTheme="minorHAnsi" w:cstheme="minorHAnsi"/>
            <w:sz w:val="16"/>
            <w:szCs w:val="16"/>
          </w:rPr>
          <w:t>https://pisrs.si/pregledPredpisa?id=ZAKO1597</w:t>
        </w:r>
      </w:hyperlink>
      <w:r w:rsidRPr="006C6318">
        <w:rPr>
          <w:rStyle w:val="Hiperpovezava"/>
          <w:rFonts w:asciiTheme="minorHAnsi" w:hAnsiTheme="minorHAnsi" w:cstheme="minorHAnsi"/>
          <w:sz w:val="16"/>
          <w:szCs w:val="16"/>
        </w:rPr>
        <w:t xml:space="preserve"> </w:t>
      </w:r>
      <w:r w:rsidRPr="006C6318">
        <w:rPr>
          <w:rFonts w:asciiTheme="minorHAnsi" w:hAnsiTheme="minorHAnsi" w:cstheme="minorHAnsi"/>
          <w:sz w:val="16"/>
          <w:szCs w:val="16"/>
        </w:rPr>
        <w:t>(13. 10. 2024)</w:t>
      </w:r>
    </w:p>
  </w:footnote>
  <w:footnote w:id="8">
    <w:p w14:paraId="542D3041" w14:textId="77777777" w:rsidR="00D45189" w:rsidRPr="006C6318" w:rsidRDefault="00D45189" w:rsidP="00D45189">
      <w:pPr>
        <w:pStyle w:val="Sprotnaopomba-besedilo"/>
        <w:rPr>
          <w:rFonts w:asciiTheme="minorHAnsi" w:hAnsiTheme="minorHAnsi" w:cstheme="minorHAnsi"/>
          <w:sz w:val="16"/>
          <w:szCs w:val="16"/>
        </w:rPr>
      </w:pPr>
      <w:r w:rsidRPr="006C6318">
        <w:rPr>
          <w:rStyle w:val="Sprotnaopomba-sklic"/>
          <w:rFonts w:asciiTheme="minorHAnsi" w:hAnsiTheme="minorHAnsi" w:cstheme="minorHAnsi"/>
          <w:sz w:val="16"/>
          <w:szCs w:val="16"/>
        </w:rPr>
        <w:footnoteRef/>
      </w:r>
      <w:r w:rsidRPr="006C6318">
        <w:rPr>
          <w:rFonts w:asciiTheme="minorHAnsi" w:hAnsiTheme="minorHAnsi" w:cstheme="minorHAnsi"/>
          <w:sz w:val="16"/>
          <w:szCs w:val="16"/>
        </w:rPr>
        <w:t xml:space="preserve"> Zakon o plačilnem prometu: </w:t>
      </w:r>
      <w:hyperlink r:id="rId7" w:history="1">
        <w:r w:rsidRPr="006C6318">
          <w:rPr>
            <w:rStyle w:val="Hiperpovezava"/>
            <w:rFonts w:asciiTheme="minorHAnsi" w:hAnsiTheme="minorHAnsi" w:cstheme="minorHAnsi"/>
            <w:sz w:val="16"/>
            <w:szCs w:val="16"/>
          </w:rPr>
          <w:t>Zakon o plačilnem prometu (ZPlaP) (PISRS)</w:t>
        </w:r>
      </w:hyperlink>
      <w:r w:rsidRPr="006C6318">
        <w:rPr>
          <w:rFonts w:asciiTheme="minorHAnsi" w:hAnsiTheme="minorHAnsi" w:cstheme="minorHAnsi"/>
          <w:sz w:val="16"/>
          <w:szCs w:val="16"/>
        </w:rPr>
        <w:t xml:space="preserve"> (13. 10. 2024)</w:t>
      </w:r>
    </w:p>
  </w:footnote>
  <w:footnote w:id="9">
    <w:p w14:paraId="64A103A1" w14:textId="7867C8F9" w:rsidR="00D45189" w:rsidRPr="006C6318" w:rsidRDefault="00D45189" w:rsidP="004A3740">
      <w:pPr>
        <w:pStyle w:val="Sprotnaopomba-besedilo"/>
        <w:jc w:val="both"/>
        <w:rPr>
          <w:rFonts w:asciiTheme="minorHAnsi" w:hAnsiTheme="minorHAnsi" w:cstheme="minorHAnsi"/>
          <w:sz w:val="16"/>
          <w:szCs w:val="16"/>
        </w:rPr>
      </w:pPr>
      <w:r w:rsidRPr="006C6318">
        <w:rPr>
          <w:rStyle w:val="Sprotnaopomba-sklic"/>
          <w:rFonts w:asciiTheme="minorHAnsi" w:hAnsiTheme="minorHAnsi" w:cstheme="minorHAnsi"/>
          <w:sz w:val="16"/>
          <w:szCs w:val="16"/>
        </w:rPr>
        <w:footnoteRef/>
      </w:r>
      <w:r w:rsidRPr="006C6318">
        <w:rPr>
          <w:rFonts w:asciiTheme="minorHAnsi" w:hAnsiTheme="minorHAnsi" w:cstheme="minorHAnsi"/>
          <w:sz w:val="16"/>
          <w:szCs w:val="16"/>
        </w:rPr>
        <w:t xml:space="preserve"> Zakon o znanstvenoraziskovalni in inovacijski dejavnosti (5. člen, </w:t>
      </w:r>
      <w:r w:rsidRPr="00107284">
        <w:rPr>
          <w:rFonts w:asciiTheme="minorHAnsi" w:hAnsiTheme="minorHAnsi" w:cstheme="minorHAnsi"/>
          <w:sz w:val="16"/>
          <w:szCs w:val="16"/>
        </w:rPr>
        <w:t xml:space="preserve">točka 15; glej še 55. člen, drugi odstavek, točka 2; 57. člen): </w:t>
      </w:r>
      <w:hyperlink r:id="rId8" w:history="1">
        <w:r w:rsidRPr="00107284">
          <w:rPr>
            <w:rStyle w:val="Hiperpovezava"/>
            <w:rFonts w:asciiTheme="minorHAnsi" w:hAnsiTheme="minorHAnsi" w:cstheme="minorHAnsi"/>
            <w:sz w:val="16"/>
            <w:szCs w:val="16"/>
          </w:rPr>
          <w:t>https://pisrs.si/pregledPredpisa?id=ZAKO7733</w:t>
        </w:r>
      </w:hyperlink>
      <w:r w:rsidRPr="00107284">
        <w:rPr>
          <w:rFonts w:asciiTheme="minorHAnsi" w:hAnsiTheme="minorHAnsi" w:cstheme="minorHAnsi"/>
          <w:sz w:val="16"/>
          <w:szCs w:val="16"/>
        </w:rPr>
        <w:t xml:space="preserve"> (13. 10. </w:t>
      </w:r>
      <w:r w:rsidRPr="00107284">
        <w:rPr>
          <w:rFonts w:asciiTheme="minorHAnsi" w:hAnsiTheme="minorHAnsi" w:cstheme="minorHAnsi"/>
          <w:sz w:val="16"/>
          <w:szCs w:val="16"/>
        </w:rPr>
        <w:t>2024</w:t>
      </w:r>
      <w:r w:rsidR="00107284">
        <w:rPr>
          <w:rFonts w:asciiTheme="minorHAnsi" w:hAnsiTheme="minorHAnsi" w:cstheme="minorHAnsi"/>
          <w:sz w:val="16"/>
          <w:szCs w:val="16"/>
        </w:rPr>
        <w:t xml:space="preserve">, </w:t>
      </w:r>
      <w:r w:rsidR="00107284" w:rsidRPr="00107284">
        <w:rPr>
          <w:rFonts w:asciiTheme="minorHAnsi" w:hAnsiTheme="minorHAnsi" w:cstheme="minorHAnsi"/>
          <w:sz w:val="16"/>
          <w:szCs w:val="16"/>
        </w:rPr>
        <w:t>Zakon o spremembah in dopolnitvah Zakona o znanstvenoraziskovalni in inovacijski dejavnosti (</w:t>
      </w:r>
      <w:proofErr w:type="spellStart"/>
      <w:r w:rsidR="00107284" w:rsidRPr="00107284">
        <w:rPr>
          <w:rFonts w:asciiTheme="minorHAnsi" w:hAnsiTheme="minorHAnsi" w:cstheme="minorHAnsi"/>
          <w:sz w:val="16"/>
          <w:szCs w:val="16"/>
        </w:rPr>
        <w:t>ZZrID</w:t>
      </w:r>
      <w:proofErr w:type="spellEnd"/>
      <w:r w:rsidR="00107284" w:rsidRPr="00107284">
        <w:rPr>
          <w:rFonts w:asciiTheme="minorHAnsi" w:hAnsiTheme="minorHAnsi" w:cstheme="minorHAnsi"/>
          <w:sz w:val="16"/>
          <w:szCs w:val="16"/>
        </w:rPr>
        <w:t xml:space="preserve">-C) </w:t>
      </w:r>
      <w:r w:rsidR="00107284">
        <w:rPr>
          <w:rFonts w:asciiTheme="minorHAnsi" w:hAnsiTheme="minorHAnsi" w:cstheme="minorHAnsi"/>
          <w:sz w:val="16"/>
          <w:szCs w:val="16"/>
        </w:rPr>
        <w:t xml:space="preserve">(2. člen): </w:t>
      </w:r>
      <w:r w:rsidR="006C3461" w:rsidRPr="00107284">
        <w:rPr>
          <w:rFonts w:asciiTheme="minorHAnsi" w:hAnsiTheme="minorHAnsi" w:cstheme="minorHAnsi"/>
          <w:sz w:val="16"/>
          <w:szCs w:val="16"/>
        </w:rPr>
        <w:t xml:space="preserve"> </w:t>
      </w:r>
      <w:hyperlink r:id="rId9" w:history="1">
        <w:r w:rsidR="006C3461" w:rsidRPr="00107284">
          <w:rPr>
            <w:rStyle w:val="Hiperpovezava"/>
            <w:rFonts w:asciiTheme="minorHAnsi" w:hAnsiTheme="minorHAnsi" w:cstheme="minorHAnsi"/>
            <w:sz w:val="16"/>
            <w:szCs w:val="16"/>
          </w:rPr>
          <w:t>https://pisrs.si/pregledPredpisa?id=ZAKO8951</w:t>
        </w:r>
      </w:hyperlink>
      <w:r w:rsidR="006C3461">
        <w:rPr>
          <w:rFonts w:asciiTheme="minorHAnsi" w:hAnsiTheme="minorHAnsi" w:cstheme="minorHAnsi"/>
          <w:sz w:val="16"/>
          <w:szCs w:val="16"/>
        </w:rPr>
        <w:t xml:space="preserve"> (6. 6. 2025)</w:t>
      </w:r>
    </w:p>
  </w:footnote>
  <w:footnote w:id="10">
    <w:p w14:paraId="10152569" w14:textId="77777777" w:rsidR="00D45189" w:rsidRPr="006C6318" w:rsidRDefault="00D45189" w:rsidP="00D45189">
      <w:pPr>
        <w:pStyle w:val="Sprotnaopomba-besedilo"/>
        <w:rPr>
          <w:rFonts w:asciiTheme="minorHAnsi" w:hAnsiTheme="minorHAnsi" w:cstheme="minorHAnsi"/>
          <w:sz w:val="16"/>
          <w:szCs w:val="16"/>
        </w:rPr>
      </w:pPr>
      <w:r w:rsidRPr="006C6318">
        <w:rPr>
          <w:rStyle w:val="Sprotnaopomba-sklic"/>
          <w:rFonts w:asciiTheme="minorHAnsi" w:hAnsiTheme="minorHAnsi" w:cstheme="minorHAnsi"/>
          <w:sz w:val="16"/>
          <w:szCs w:val="16"/>
        </w:rPr>
        <w:footnoteRef/>
      </w:r>
      <w:r w:rsidRPr="006C6318">
        <w:rPr>
          <w:rFonts w:asciiTheme="minorHAnsi" w:hAnsiTheme="minorHAnsi" w:cstheme="minorHAnsi"/>
          <w:sz w:val="16"/>
          <w:szCs w:val="16"/>
        </w:rPr>
        <w:t xml:space="preserve"> Pravilnik o vsebini in načinu vodenja evidence o izvajalcih raziskovalne in razvojne dejavnosti: </w:t>
      </w:r>
      <w:hyperlink r:id="rId10" w:history="1">
        <w:r w:rsidRPr="006C6318">
          <w:rPr>
            <w:rStyle w:val="Hiperpovezava"/>
            <w:rFonts w:asciiTheme="minorHAnsi" w:hAnsiTheme="minorHAnsi" w:cstheme="minorHAnsi"/>
            <w:sz w:val="16"/>
            <w:szCs w:val="16"/>
          </w:rPr>
          <w:t>https://www.aris-rs.si/sl/evidreg/evid/akti/prav-evidence-rrd-julij14.asp</w:t>
        </w:r>
      </w:hyperlink>
      <w:r w:rsidRPr="006C6318">
        <w:rPr>
          <w:rFonts w:asciiTheme="minorHAnsi" w:hAnsiTheme="minorHAnsi" w:cstheme="minorHAnsi"/>
          <w:sz w:val="16"/>
          <w:szCs w:val="16"/>
        </w:rPr>
        <w:t xml:space="preserve"> (13. 10. 2024)</w:t>
      </w:r>
    </w:p>
  </w:footnote>
  <w:footnote w:id="11">
    <w:p w14:paraId="1648F288" w14:textId="77777777" w:rsidR="00D45189" w:rsidRPr="006C6318" w:rsidRDefault="00D45189" w:rsidP="00D45189">
      <w:pPr>
        <w:pStyle w:val="Sprotnaopomba-besedilo"/>
        <w:rPr>
          <w:rFonts w:asciiTheme="minorHAnsi" w:hAnsiTheme="minorHAnsi" w:cstheme="minorHAnsi"/>
        </w:rPr>
      </w:pPr>
      <w:r w:rsidRPr="006C6318">
        <w:rPr>
          <w:rStyle w:val="Sprotnaopomba-sklic"/>
          <w:rFonts w:asciiTheme="minorHAnsi" w:hAnsiTheme="minorHAnsi" w:cstheme="minorHAnsi"/>
          <w:sz w:val="16"/>
          <w:szCs w:val="16"/>
        </w:rPr>
        <w:footnoteRef/>
      </w:r>
      <w:r w:rsidRPr="006C6318">
        <w:rPr>
          <w:rFonts w:asciiTheme="minorHAnsi" w:hAnsiTheme="minorHAnsi" w:cstheme="minorHAnsi"/>
          <w:sz w:val="16"/>
          <w:szCs w:val="16"/>
        </w:rPr>
        <w:t xml:space="preserve"> Zakon o zavodih: </w:t>
      </w:r>
      <w:hyperlink r:id="rId11" w:history="1">
        <w:r w:rsidRPr="006C6318">
          <w:rPr>
            <w:rStyle w:val="Hiperpovezava"/>
            <w:rFonts w:asciiTheme="minorHAnsi" w:hAnsiTheme="minorHAnsi" w:cstheme="minorHAnsi"/>
            <w:sz w:val="16"/>
            <w:szCs w:val="16"/>
          </w:rPr>
          <w:t>https://pisrs.si/pregledPredpisa?id=ZAKO10</w:t>
        </w:r>
      </w:hyperlink>
      <w:r w:rsidRPr="006C6318">
        <w:rPr>
          <w:rFonts w:asciiTheme="minorHAnsi" w:hAnsiTheme="minorHAnsi" w:cstheme="minorHAnsi"/>
          <w:sz w:val="16"/>
          <w:szCs w:val="16"/>
        </w:rPr>
        <w:t xml:space="preserve"> (13. 10. 2024)</w:t>
      </w:r>
    </w:p>
  </w:footnote>
  <w:footnote w:id="12">
    <w:p w14:paraId="078D0687" w14:textId="77777777" w:rsidR="00D45189" w:rsidRPr="006C6318" w:rsidRDefault="00D45189" w:rsidP="00D45189">
      <w:pPr>
        <w:pStyle w:val="Sprotnaopomba-besedilo"/>
        <w:rPr>
          <w:rFonts w:asciiTheme="minorHAnsi" w:hAnsiTheme="minorHAnsi" w:cstheme="minorHAnsi"/>
        </w:rPr>
      </w:pPr>
      <w:r w:rsidRPr="006C6318">
        <w:rPr>
          <w:rStyle w:val="Sprotnaopomba-sklic"/>
          <w:rFonts w:asciiTheme="minorHAnsi" w:hAnsiTheme="minorHAnsi" w:cstheme="minorHAnsi"/>
          <w:sz w:val="16"/>
          <w:szCs w:val="16"/>
        </w:rPr>
        <w:footnoteRef/>
      </w:r>
      <w:r w:rsidRPr="006C6318">
        <w:rPr>
          <w:rFonts w:asciiTheme="minorHAnsi" w:hAnsiTheme="minorHAnsi" w:cstheme="minorHAnsi"/>
          <w:sz w:val="16"/>
          <w:szCs w:val="16"/>
        </w:rPr>
        <w:t xml:space="preserve"> Zakon o visokem šolstvu: </w:t>
      </w:r>
      <w:hyperlink r:id="rId12" w:history="1">
        <w:r w:rsidRPr="006C6318">
          <w:rPr>
            <w:rStyle w:val="Hiperpovezava"/>
            <w:rFonts w:asciiTheme="minorHAnsi" w:hAnsiTheme="minorHAnsi" w:cstheme="minorHAnsi"/>
            <w:sz w:val="16"/>
            <w:szCs w:val="16"/>
          </w:rPr>
          <w:t>https://pisrs.si/pregledPredpisa?id=ZAKO172</w:t>
        </w:r>
      </w:hyperlink>
      <w:r w:rsidRPr="006C6318">
        <w:rPr>
          <w:rFonts w:asciiTheme="minorHAnsi" w:hAnsiTheme="minorHAnsi" w:cstheme="minorHAnsi"/>
          <w:sz w:val="16"/>
          <w:szCs w:val="16"/>
        </w:rPr>
        <w:t xml:space="preserve"> (13. 10. 2024)</w:t>
      </w:r>
    </w:p>
  </w:footnote>
  <w:footnote w:id="13">
    <w:p w14:paraId="48402895" w14:textId="77777777" w:rsidR="00D45189" w:rsidRPr="006C6318" w:rsidRDefault="00D45189" w:rsidP="006C6318">
      <w:pPr>
        <w:pStyle w:val="Sprotnaopomba-besedilo"/>
        <w:jc w:val="both"/>
        <w:rPr>
          <w:rFonts w:asciiTheme="minorHAnsi" w:hAnsiTheme="minorHAnsi" w:cstheme="minorHAnsi"/>
          <w:sz w:val="18"/>
          <w:szCs w:val="18"/>
        </w:rPr>
      </w:pPr>
      <w:r w:rsidRPr="006C6318">
        <w:rPr>
          <w:rStyle w:val="Sprotnaopomba-sklic"/>
          <w:rFonts w:asciiTheme="minorHAnsi" w:hAnsiTheme="minorHAnsi" w:cstheme="minorHAnsi"/>
          <w:sz w:val="18"/>
          <w:szCs w:val="18"/>
        </w:rPr>
        <w:footnoteRef/>
      </w:r>
      <w:r w:rsidRPr="006C6318">
        <w:rPr>
          <w:rFonts w:asciiTheme="minorHAnsi" w:hAnsiTheme="minorHAnsi" w:cstheme="minorHAnsi"/>
          <w:sz w:val="18"/>
          <w:szCs w:val="18"/>
        </w:rPr>
        <w:t xml:space="preserve"> Zakon o izumih z delovnega razmerja (UL 15/7). </w:t>
      </w:r>
      <w:hyperlink r:id="rId13" w:history="1">
        <w:r w:rsidRPr="006C6318">
          <w:rPr>
            <w:rStyle w:val="Hiperpovezava"/>
            <w:rFonts w:asciiTheme="minorHAnsi" w:hAnsiTheme="minorHAnsi" w:cstheme="minorHAnsi"/>
            <w:sz w:val="18"/>
            <w:szCs w:val="18"/>
          </w:rPr>
          <w:t>https://pisrs.si/pregledPredpisa?id=ZAKO361</w:t>
        </w:r>
      </w:hyperlink>
      <w:r w:rsidRPr="006C6318">
        <w:rPr>
          <w:rFonts w:asciiTheme="minorHAnsi" w:hAnsiTheme="minorHAnsi" w:cstheme="minorHAnsi"/>
          <w:sz w:val="18"/>
          <w:szCs w:val="18"/>
        </w:rPr>
        <w:t xml:space="preserve"> (17.11.2024)</w:t>
      </w:r>
    </w:p>
  </w:footnote>
  <w:footnote w:id="14">
    <w:p w14:paraId="6061B72A" w14:textId="77777777" w:rsidR="00D45189" w:rsidRDefault="00D45189" w:rsidP="006C6318">
      <w:pPr>
        <w:pStyle w:val="Sprotnaopomba-besedilo"/>
        <w:jc w:val="both"/>
      </w:pPr>
      <w:r w:rsidRPr="006C6318">
        <w:rPr>
          <w:rStyle w:val="Sprotnaopomba-sklic"/>
          <w:rFonts w:asciiTheme="minorHAnsi" w:hAnsiTheme="minorHAnsi" w:cstheme="minorHAnsi"/>
          <w:sz w:val="18"/>
          <w:szCs w:val="18"/>
        </w:rPr>
        <w:footnoteRef/>
      </w:r>
      <w:r w:rsidRPr="006C6318">
        <w:rPr>
          <w:rFonts w:asciiTheme="minorHAnsi" w:hAnsiTheme="minorHAnsi" w:cstheme="minorHAnsi"/>
          <w:sz w:val="18"/>
          <w:szCs w:val="18"/>
        </w:rPr>
        <w:t xml:space="preserve"> Sporočilo Komisije, Okvir za državno pomoč za raziskave, razvoj in inovacije (2022/C 414/01), poglavje 2.2.2, točke 28 – 31. </w:t>
      </w:r>
      <w:hyperlink r:id="rId14" w:history="1">
        <w:r w:rsidRPr="006C6318">
          <w:rPr>
            <w:rStyle w:val="Hiperpovezava"/>
            <w:rFonts w:asciiTheme="minorHAnsi" w:hAnsiTheme="minorHAnsi" w:cstheme="minorHAnsi"/>
            <w:sz w:val="18"/>
            <w:szCs w:val="18"/>
          </w:rPr>
          <w:t>https://eur-lex.europa.eu/legal-content/EN/TXT/?uri=celex%3A52022XC1028%2803%29</w:t>
        </w:r>
      </w:hyperlink>
      <w:r w:rsidRPr="006C6318">
        <w:rPr>
          <w:rFonts w:asciiTheme="minorHAnsi" w:hAnsiTheme="minorHAnsi" w:cstheme="minorHAnsi"/>
          <w:sz w:val="18"/>
          <w:szCs w:val="18"/>
        </w:rPr>
        <w:t xml:space="preserve"> (13. 10. 2024)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270173" w14:textId="77777777" w:rsidR="00AD5A2C" w:rsidRDefault="00AD5A2C">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amrea"/>
      <w:tblW w:w="9536" w:type="dxa"/>
      <w:tblInd w:w="-1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39"/>
      <w:gridCol w:w="2483"/>
      <w:gridCol w:w="970"/>
      <w:gridCol w:w="1208"/>
      <w:gridCol w:w="2336"/>
    </w:tblGrid>
    <w:tr w:rsidR="00881DD3" w14:paraId="75F5EEA0" w14:textId="77777777" w:rsidTr="00CF1C52">
      <w:tc>
        <w:tcPr>
          <w:tcW w:w="2539" w:type="dxa"/>
        </w:tcPr>
        <w:p w14:paraId="44A7288D" w14:textId="77777777" w:rsidR="00881DD3" w:rsidRDefault="00881DD3" w:rsidP="00881DD3">
          <w:pPr>
            <w:spacing w:before="120"/>
          </w:pPr>
          <w:r>
            <w:rPr>
              <w:noProof/>
            </w:rPr>
            <w:drawing>
              <wp:inline distT="0" distB="0" distL="0" distR="0" wp14:anchorId="76D07438" wp14:editId="3607918A">
                <wp:extent cx="1440000" cy="295200"/>
                <wp:effectExtent l="0" t="0" r="0" b="0"/>
                <wp:docPr id="431744399" name="Slika 1" descr="Slika, ki vsebuje besede besedilo, pisava, posnetek zaslona, logotip&#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1744399" name="Slika 1" descr="Slika, ki vsebuje besede besedilo, pisava, posnetek zaslona, logotip&#10;&#10;Opis je samodejno ustvarjen"/>
                        <pic:cNvPicPr/>
                      </pic:nvPicPr>
                      <pic:blipFill>
                        <a:blip r:embed="rId1">
                          <a:extLst>
                            <a:ext uri="{28A0092B-C50C-407E-A947-70E740481C1C}">
                              <a14:useLocalDpi xmlns:a14="http://schemas.microsoft.com/office/drawing/2010/main" val="0"/>
                            </a:ext>
                          </a:extLst>
                        </a:blip>
                        <a:stretch>
                          <a:fillRect/>
                        </a:stretch>
                      </pic:blipFill>
                      <pic:spPr>
                        <a:xfrm>
                          <a:off x="0" y="0"/>
                          <a:ext cx="1440000" cy="295200"/>
                        </a:xfrm>
                        <a:prstGeom prst="rect">
                          <a:avLst/>
                        </a:prstGeom>
                      </pic:spPr>
                    </pic:pic>
                  </a:graphicData>
                </a:graphic>
              </wp:inline>
            </w:drawing>
          </w:r>
          <w:r>
            <w:rPr>
              <w:noProof/>
            </w:rPr>
            <w:t xml:space="preserve"> </w:t>
          </w:r>
        </w:p>
      </w:tc>
      <w:tc>
        <w:tcPr>
          <w:tcW w:w="2483" w:type="dxa"/>
        </w:tcPr>
        <w:p w14:paraId="5BCB71FA" w14:textId="77777777" w:rsidR="00881DD3" w:rsidRDefault="00881DD3" w:rsidP="00881DD3">
          <w:pPr>
            <w:spacing w:before="160"/>
          </w:pPr>
          <w:r>
            <w:rPr>
              <w:noProof/>
            </w:rPr>
            <w:drawing>
              <wp:inline distT="0" distB="0" distL="0" distR="0" wp14:anchorId="5B672516" wp14:editId="1F06A18C">
                <wp:extent cx="1440000" cy="262800"/>
                <wp:effectExtent l="0" t="0" r="0" b="4445"/>
                <wp:docPr id="883050608" name="Slika 2" descr="Logotip MVZI&#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3050608" name="Slika 2" descr="Logotip MVZI&#10;"/>
                        <pic:cNvPicPr/>
                      </pic:nvPicPr>
                      <pic:blipFill>
                        <a:blip r:embed="rId2">
                          <a:extLst>
                            <a:ext uri="{28A0092B-C50C-407E-A947-70E740481C1C}">
                              <a14:useLocalDpi xmlns:a14="http://schemas.microsoft.com/office/drawing/2010/main" val="0"/>
                            </a:ext>
                          </a:extLst>
                        </a:blip>
                        <a:stretch>
                          <a:fillRect/>
                        </a:stretch>
                      </pic:blipFill>
                      <pic:spPr>
                        <a:xfrm>
                          <a:off x="0" y="0"/>
                          <a:ext cx="1440000" cy="262800"/>
                        </a:xfrm>
                        <a:prstGeom prst="rect">
                          <a:avLst/>
                        </a:prstGeom>
                      </pic:spPr>
                    </pic:pic>
                  </a:graphicData>
                </a:graphic>
              </wp:inline>
            </w:drawing>
          </w:r>
        </w:p>
      </w:tc>
      <w:tc>
        <w:tcPr>
          <w:tcW w:w="970" w:type="dxa"/>
        </w:tcPr>
        <w:p w14:paraId="26E06BF9" w14:textId="77777777" w:rsidR="00881DD3" w:rsidRDefault="00881DD3" w:rsidP="00881DD3"/>
      </w:tc>
      <w:tc>
        <w:tcPr>
          <w:tcW w:w="1208" w:type="dxa"/>
        </w:tcPr>
        <w:p w14:paraId="0A9AF55E" w14:textId="77777777" w:rsidR="00881DD3" w:rsidRDefault="00881DD3" w:rsidP="00881DD3">
          <w:pPr>
            <w:spacing w:before="20"/>
          </w:pPr>
          <w:r>
            <w:rPr>
              <w:noProof/>
            </w:rPr>
            <w:drawing>
              <wp:inline distT="0" distB="0" distL="0" distR="0" wp14:anchorId="5C70488E" wp14:editId="5A9C617A">
                <wp:extent cx="673200" cy="360000"/>
                <wp:effectExtent l="0" t="0" r="0" b="2540"/>
                <wp:docPr id="948537462" name="Slika 1" descr="Slika, ki vsebuje besede besedilo, pisava, zelena, logotip&#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8537462" name="Slika 1" descr="Slika, ki vsebuje besede besedilo, pisava, zelena, logotip&#10;&#10;Opis je samodejno ustvarjen"/>
                        <pic:cNvPicPr/>
                      </pic:nvPicPr>
                      <pic:blipFill>
                        <a:blip r:embed="rId3">
                          <a:extLst>
                            <a:ext uri="{28A0092B-C50C-407E-A947-70E740481C1C}">
                              <a14:useLocalDpi xmlns:a14="http://schemas.microsoft.com/office/drawing/2010/main" val="0"/>
                            </a:ext>
                          </a:extLst>
                        </a:blip>
                        <a:stretch>
                          <a:fillRect/>
                        </a:stretch>
                      </pic:blipFill>
                      <pic:spPr>
                        <a:xfrm>
                          <a:off x="0" y="0"/>
                          <a:ext cx="673200" cy="360000"/>
                        </a:xfrm>
                        <a:prstGeom prst="rect">
                          <a:avLst/>
                        </a:prstGeom>
                      </pic:spPr>
                    </pic:pic>
                  </a:graphicData>
                </a:graphic>
              </wp:inline>
            </w:drawing>
          </w:r>
        </w:p>
      </w:tc>
      <w:tc>
        <w:tcPr>
          <w:tcW w:w="2336" w:type="dxa"/>
        </w:tcPr>
        <w:p w14:paraId="75C3DCAE" w14:textId="77777777" w:rsidR="00881DD3" w:rsidRDefault="00881DD3" w:rsidP="00881DD3">
          <w:pPr>
            <w:spacing w:before="20"/>
          </w:pPr>
          <w:r>
            <w:rPr>
              <w:noProof/>
            </w:rPr>
            <w:drawing>
              <wp:inline distT="0" distB="0" distL="0" distR="0" wp14:anchorId="3C5462C2" wp14:editId="0C5D735D">
                <wp:extent cx="1356995" cy="359410"/>
                <wp:effectExtent l="0" t="0" r="0" b="2540"/>
                <wp:docPr id="24425161" name="Slika 4" descr="Slika, ki vsebuje besede posnetek zaslona, pisava, električno modra, maroška modra&#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25161" name="Slika 4" descr="Slika, ki vsebuje besede posnetek zaslona, pisava, električno modra, maroška modra&#10;&#10;Opis je samodejno ustvarjen"/>
                        <pic:cNvPicPr/>
                      </pic:nvPicPr>
                      <pic:blipFill>
                        <a:blip r:embed="rId4">
                          <a:extLst>
                            <a:ext uri="{28A0092B-C50C-407E-A947-70E740481C1C}">
                              <a14:useLocalDpi xmlns:a14="http://schemas.microsoft.com/office/drawing/2010/main" val="0"/>
                            </a:ext>
                          </a:extLst>
                        </a:blip>
                        <a:stretch>
                          <a:fillRect/>
                        </a:stretch>
                      </pic:blipFill>
                      <pic:spPr>
                        <a:xfrm>
                          <a:off x="0" y="0"/>
                          <a:ext cx="1359223" cy="360000"/>
                        </a:xfrm>
                        <a:prstGeom prst="rect">
                          <a:avLst/>
                        </a:prstGeom>
                      </pic:spPr>
                    </pic:pic>
                  </a:graphicData>
                </a:graphic>
              </wp:inline>
            </w:drawing>
          </w:r>
        </w:p>
      </w:tc>
    </w:tr>
  </w:tbl>
  <w:p w14:paraId="638D06EF" w14:textId="7EE1DF1C" w:rsidR="00580424" w:rsidRPr="00AD5A2C" w:rsidRDefault="00580424" w:rsidP="00AD5A2C">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A58358" w14:textId="77777777" w:rsidR="00AD5A2C" w:rsidRDefault="00AD5A2C">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465276"/>
    <w:multiLevelType w:val="hybridMultilevel"/>
    <w:tmpl w:val="218411DA"/>
    <w:lvl w:ilvl="0" w:tplc="2AF67FE0">
      <w:start w:val="1"/>
      <w:numFmt w:val="upperRoman"/>
      <w:lvlText w:val="%1."/>
      <w:lvlJc w:val="left"/>
      <w:pPr>
        <w:ind w:left="720" w:hanging="72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 w15:restartNumberingAfterBreak="0">
    <w:nsid w:val="217712D4"/>
    <w:multiLevelType w:val="hybridMultilevel"/>
    <w:tmpl w:val="232809A6"/>
    <w:lvl w:ilvl="0" w:tplc="3446D446">
      <w:start w:val="1"/>
      <w:numFmt w:val="bullet"/>
      <w:lvlText w:val="-"/>
      <w:lvlJc w:val="left"/>
      <w:pPr>
        <w:ind w:left="720" w:hanging="360"/>
      </w:pPr>
      <w:rPr>
        <w:rFonts w:ascii="Microsoft Sans Serif" w:eastAsia="Microsoft Sans Serif" w:hAnsi="Microsoft Sans Serif" w:cs="Microsoft Sans Serif"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 w15:restartNumberingAfterBreak="0">
    <w:nsid w:val="2E5533AD"/>
    <w:multiLevelType w:val="hybridMultilevel"/>
    <w:tmpl w:val="55C4AAEE"/>
    <w:lvl w:ilvl="0" w:tplc="3446D446">
      <w:start w:val="1"/>
      <w:numFmt w:val="bullet"/>
      <w:lvlText w:val="-"/>
      <w:lvlJc w:val="left"/>
      <w:pPr>
        <w:ind w:left="720" w:hanging="360"/>
      </w:pPr>
      <w:rPr>
        <w:rFonts w:ascii="Microsoft Sans Serif" w:eastAsia="Microsoft Sans Serif" w:hAnsi="Microsoft Sans Serif" w:cs="Microsoft Sans Serif"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 w15:restartNumberingAfterBreak="0">
    <w:nsid w:val="307E088E"/>
    <w:multiLevelType w:val="hybridMultilevel"/>
    <w:tmpl w:val="E32458C6"/>
    <w:lvl w:ilvl="0" w:tplc="A5147C8E">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926062511">
    <w:abstractNumId w:val="2"/>
  </w:num>
  <w:num w:numId="2" w16cid:durableId="1093208151">
    <w:abstractNumId w:val="1"/>
  </w:num>
  <w:num w:numId="3" w16cid:durableId="610358115">
    <w:abstractNumId w:val="3"/>
  </w:num>
  <w:num w:numId="4" w16cid:durableId="91112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424"/>
    <w:rsid w:val="00107284"/>
    <w:rsid w:val="00161BE8"/>
    <w:rsid w:val="001E299E"/>
    <w:rsid w:val="00496DB4"/>
    <w:rsid w:val="004A3740"/>
    <w:rsid w:val="005165BF"/>
    <w:rsid w:val="00527125"/>
    <w:rsid w:val="00580424"/>
    <w:rsid w:val="006C3461"/>
    <w:rsid w:val="006C6318"/>
    <w:rsid w:val="00881DD3"/>
    <w:rsid w:val="008B6970"/>
    <w:rsid w:val="00915081"/>
    <w:rsid w:val="00924F03"/>
    <w:rsid w:val="00A9148C"/>
    <w:rsid w:val="00AA311D"/>
    <w:rsid w:val="00AD5A2C"/>
    <w:rsid w:val="00B6355A"/>
    <w:rsid w:val="00BD2485"/>
    <w:rsid w:val="00CB3594"/>
    <w:rsid w:val="00CD009B"/>
    <w:rsid w:val="00D45189"/>
    <w:rsid w:val="00D52DB6"/>
    <w:rsid w:val="00D837AD"/>
    <w:rsid w:val="00DE0A22"/>
    <w:rsid w:val="00E2312D"/>
    <w:rsid w:val="00EA5367"/>
    <w:rsid w:val="00F82181"/>
    <w:rsid w:val="00FB000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83176"/>
  <w15:chartTrackingRefBased/>
  <w15:docId w15:val="{F6DA0E3F-9598-4FC6-A70C-D8AD45B66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45189"/>
    <w:pPr>
      <w:spacing w:after="0" w:line="240" w:lineRule="auto"/>
    </w:pPr>
    <w:rPr>
      <w:rFonts w:ascii="Times New Roman" w:eastAsia="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qFormat/>
    <w:rsid w:val="00580424"/>
    <w:rPr>
      <w:sz w:val="20"/>
      <w:szCs w:val="20"/>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basedOn w:val="Privzetapisavaodstavka"/>
    <w:link w:val="Sprotnaopomba-besedilo"/>
    <w:qFormat/>
    <w:rsid w:val="00580424"/>
    <w:rPr>
      <w:rFonts w:ascii="Times New Roman" w:eastAsia="Times New Roman" w:hAnsi="Times New Roman" w:cs="Times New Roman"/>
      <w:sz w:val="20"/>
      <w:szCs w:val="20"/>
      <w:lang w:eastAsia="sl-SI"/>
    </w:rPr>
  </w:style>
  <w:style w:type="character" w:styleId="Sprotnaopomba-sklic">
    <w:name w:val="footnote reference"/>
    <w:aliases w:val="Footnote symbol, Znak,Footnote reference number,note TESI,SUPERS,EN Footnote Reference,Footnote,Fussnota,Znak,-E Fußnotenzeichen,Times 10 Point,Exposant 3 Point,E...,nota de rodapé,Footnote Reference_LVL6,Footnote Reference_LVL61"/>
    <w:basedOn w:val="Privzetapisavaodstavka"/>
    <w:link w:val="FootnotesymbolCarZchn"/>
    <w:uiPriority w:val="99"/>
    <w:rsid w:val="00580424"/>
    <w:rPr>
      <w:vertAlign w:val="superscript"/>
    </w:rPr>
  </w:style>
  <w:style w:type="paragraph" w:styleId="Pripombabesedilo">
    <w:name w:val="annotation text"/>
    <w:aliases w:val="Komentar - besedilo,Komentar - besedilo1, Znak9,Znak9"/>
    <w:basedOn w:val="Navaden"/>
    <w:link w:val="PripombabesediloZnak"/>
    <w:uiPriority w:val="99"/>
    <w:rsid w:val="00580424"/>
    <w:rPr>
      <w:sz w:val="20"/>
      <w:szCs w:val="20"/>
    </w:rPr>
  </w:style>
  <w:style w:type="character" w:customStyle="1" w:styleId="PripombabesediloZnak">
    <w:name w:val="Pripomba – besedilo Znak"/>
    <w:aliases w:val="Komentar - besedilo Znak,Komentar - besedilo1 Znak, Znak9 Znak,Znak9 Znak"/>
    <w:basedOn w:val="Privzetapisavaodstavka"/>
    <w:link w:val="Pripombabesedilo"/>
    <w:uiPriority w:val="99"/>
    <w:rsid w:val="00580424"/>
    <w:rPr>
      <w:rFonts w:ascii="Times New Roman" w:eastAsia="Times New Roman" w:hAnsi="Times New Roman" w:cs="Times New Roman"/>
      <w:sz w:val="20"/>
      <w:szCs w:val="20"/>
      <w:lang w:eastAsia="sl-SI"/>
    </w:rPr>
  </w:style>
  <w:style w:type="character" w:styleId="Pripombasklic">
    <w:name w:val="annotation reference"/>
    <w:aliases w:val="Komentar - sklic,Komentar - sklic1"/>
    <w:basedOn w:val="Privzetapisavaodstavka"/>
    <w:uiPriority w:val="99"/>
    <w:unhideWhenUsed/>
    <w:rsid w:val="00580424"/>
    <w:rPr>
      <w:sz w:val="16"/>
      <w:szCs w:val="16"/>
    </w:rPr>
  </w:style>
  <w:style w:type="character" w:styleId="Hiperpovezava">
    <w:name w:val="Hyperlink"/>
    <w:uiPriority w:val="99"/>
    <w:rsid w:val="00580424"/>
    <w:rPr>
      <w:color w:val="0000FF"/>
      <w:u w:val="single"/>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avaden"/>
    <w:link w:val="Sprotnaopomba-sklic"/>
    <w:uiPriority w:val="99"/>
    <w:rsid w:val="00580424"/>
    <w:pPr>
      <w:spacing w:before="60" w:line="240" w:lineRule="exact"/>
      <w:ind w:left="357" w:hanging="357"/>
      <w:jc w:val="both"/>
    </w:pPr>
    <w:rPr>
      <w:vertAlign w:val="superscript"/>
    </w:rPr>
  </w:style>
  <w:style w:type="paragraph" w:styleId="Besedilooblaka">
    <w:name w:val="Balloon Text"/>
    <w:basedOn w:val="Navaden"/>
    <w:link w:val="BesedilooblakaZnak"/>
    <w:uiPriority w:val="99"/>
    <w:semiHidden/>
    <w:unhideWhenUsed/>
    <w:rsid w:val="00580424"/>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580424"/>
    <w:rPr>
      <w:rFonts w:ascii="Segoe UI" w:hAnsi="Segoe UI" w:cs="Segoe UI"/>
      <w:sz w:val="18"/>
      <w:szCs w:val="18"/>
    </w:rPr>
  </w:style>
  <w:style w:type="paragraph" w:styleId="Glava">
    <w:name w:val="header"/>
    <w:basedOn w:val="Navaden"/>
    <w:link w:val="GlavaZnak"/>
    <w:unhideWhenUsed/>
    <w:rsid w:val="00580424"/>
    <w:pPr>
      <w:tabs>
        <w:tab w:val="center" w:pos="4536"/>
        <w:tab w:val="right" w:pos="9072"/>
      </w:tabs>
    </w:pPr>
  </w:style>
  <w:style w:type="character" w:customStyle="1" w:styleId="GlavaZnak">
    <w:name w:val="Glava Znak"/>
    <w:basedOn w:val="Privzetapisavaodstavka"/>
    <w:link w:val="Glava"/>
    <w:rsid w:val="00580424"/>
  </w:style>
  <w:style w:type="paragraph" w:styleId="Noga">
    <w:name w:val="footer"/>
    <w:basedOn w:val="Navaden"/>
    <w:link w:val="NogaZnak"/>
    <w:uiPriority w:val="99"/>
    <w:unhideWhenUsed/>
    <w:rsid w:val="00580424"/>
    <w:pPr>
      <w:tabs>
        <w:tab w:val="center" w:pos="4536"/>
        <w:tab w:val="right" w:pos="9072"/>
      </w:tabs>
    </w:pPr>
  </w:style>
  <w:style w:type="character" w:customStyle="1" w:styleId="NogaZnak">
    <w:name w:val="Noga Znak"/>
    <w:basedOn w:val="Privzetapisavaodstavka"/>
    <w:link w:val="Noga"/>
    <w:uiPriority w:val="99"/>
    <w:rsid w:val="00580424"/>
  </w:style>
  <w:style w:type="table" w:styleId="Tabelamrea">
    <w:name w:val="Table Grid"/>
    <w:basedOn w:val="Navadnatabela"/>
    <w:uiPriority w:val="39"/>
    <w:rsid w:val="00881DD3"/>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ija">
    <w:name w:val="Revision"/>
    <w:hidden/>
    <w:uiPriority w:val="99"/>
    <w:semiHidden/>
    <w:rsid w:val="00161BE8"/>
    <w:pPr>
      <w:spacing w:after="0" w:line="240" w:lineRule="auto"/>
    </w:pPr>
    <w:rPr>
      <w:rFonts w:ascii="Times New Roman" w:eastAsia="Times New Roman" w:hAnsi="Times New Roman" w:cs="Times New Roman"/>
      <w:sz w:val="24"/>
      <w:szCs w:val="24"/>
      <w:lang w:eastAsia="sl-SI"/>
    </w:rPr>
  </w:style>
  <w:style w:type="character" w:styleId="Nerazreenaomemba">
    <w:name w:val="Unresolved Mention"/>
    <w:basedOn w:val="Privzetapisavaodstavka"/>
    <w:uiPriority w:val="99"/>
    <w:semiHidden/>
    <w:unhideWhenUsed/>
    <w:rsid w:val="006C34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ris.cobiss.net/ecris/si/sl"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ajpes.si/"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nakvis.si/akreditacije-in-evalvacije-v-visokem-solstvu/javne-evidence/" TargetMode="Externa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8" Type="http://schemas.openxmlformats.org/officeDocument/2006/relationships/hyperlink" Target="https://pisrs.si/pregledPredpisa?id=ZAKO7733" TargetMode="External"/><Relationship Id="rId13" Type="http://schemas.openxmlformats.org/officeDocument/2006/relationships/hyperlink" Target="https://pisrs.si/pregledPredpisa?id=ZAKO361" TargetMode="External"/><Relationship Id="rId3" Type="http://schemas.openxmlformats.org/officeDocument/2006/relationships/hyperlink" Target="https://eur-lex.europa.eu/legal-content/en/TXT/?uri=CELEX:62021CC0318" TargetMode="External"/><Relationship Id="rId7" Type="http://schemas.openxmlformats.org/officeDocument/2006/relationships/hyperlink" Target="https://pisrs.si/pregledPredpisa?id=ZAKO2205" TargetMode="External"/><Relationship Id="rId12" Type="http://schemas.openxmlformats.org/officeDocument/2006/relationships/hyperlink" Target="https://pisrs.si/pregledPredpisa?id=ZAKO172" TargetMode="External"/><Relationship Id="rId2" Type="http://schemas.openxmlformats.org/officeDocument/2006/relationships/hyperlink" Target="https://eur-lex.europa.eu/legal-content/EN/TXT/?uri=CELEX%3A62021CJ0164" TargetMode="External"/><Relationship Id="rId1" Type="http://schemas.openxmlformats.org/officeDocument/2006/relationships/hyperlink" Target="https://eur-lex.europa.eu/legal-content/SL/TXT/HTML/?uri=CELEX:02014R0651-20230701" TargetMode="External"/><Relationship Id="rId6" Type="http://schemas.openxmlformats.org/officeDocument/2006/relationships/hyperlink" Target="https://pisrs.si/pregledPredpisa?id=ZAKO1597" TargetMode="External"/><Relationship Id="rId11" Type="http://schemas.openxmlformats.org/officeDocument/2006/relationships/hyperlink" Target="https://pisrs.si/pregledPredpisa?id=ZAKO10" TargetMode="External"/><Relationship Id="rId5" Type="http://schemas.openxmlformats.org/officeDocument/2006/relationships/hyperlink" Target="https://eur-lex.europa.eu/legal-content/EN/TXT/?uri=celex%3A52022XC1028%2803%29" TargetMode="External"/><Relationship Id="rId10" Type="http://schemas.openxmlformats.org/officeDocument/2006/relationships/hyperlink" Target="https://www.aris-rs.si/sl/evidreg/evid/akti/prav-evidence-rrd-julij14.asp" TargetMode="External"/><Relationship Id="rId4" Type="http://schemas.openxmlformats.org/officeDocument/2006/relationships/hyperlink" Target="https://eur-lex.europa.eu/legal-content/en/TXT/?uri=CELEX:62021CC0318" TargetMode="External"/><Relationship Id="rId9" Type="http://schemas.openxmlformats.org/officeDocument/2006/relationships/hyperlink" Target="https://pisrs.si/pregledPredpisa?id=ZAKO8951" TargetMode="External"/><Relationship Id="rId14" Type="http://schemas.openxmlformats.org/officeDocument/2006/relationships/hyperlink" Target="https://eur-lex.europa.eu/legal-content/EN/TXT/?uri=celex%3A52022XC1028%2803%29"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 Id="rId4" Type="http://schemas.openxmlformats.org/officeDocument/2006/relationships/image" Target="media/image4.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2961</Words>
  <Characters>16878</Characters>
  <Application>Microsoft Office Word</Application>
  <DocSecurity>0</DocSecurity>
  <Lines>140</Lines>
  <Paragraphs>39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19800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Fon Jager Pia</dc:creator>
  <cp:keywords/>
  <dc:description/>
  <cp:lastModifiedBy>Podboj Bohinc Ana</cp:lastModifiedBy>
  <cp:revision>2</cp:revision>
  <dcterms:created xsi:type="dcterms:W3CDTF">2025-06-12T05:02:00Z</dcterms:created>
  <dcterms:modified xsi:type="dcterms:W3CDTF">2025-06-12T05:02:00Z</dcterms:modified>
</cp:coreProperties>
</file>