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343" w:rsidRPr="00C50E99" w:rsidRDefault="00771343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101CB4" w:rsidRDefault="00101CB4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DE5438" w:rsidRPr="00C50E99" w:rsidRDefault="00771343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  <w:r w:rsidRPr="00C50E99">
        <w:rPr>
          <w:rFonts w:cstheme="minorHAnsi"/>
          <w:b/>
          <w:color w:val="000000"/>
          <w:sz w:val="24"/>
          <w:szCs w:val="24"/>
        </w:rPr>
        <w:t>PRILOGA 1: KVANTITATIVNI ELEMENTI OCENJEVANJA PRIJAVLJENIH SERIJSKIH PUBLIKACIJ</w:t>
      </w:r>
      <w:r w:rsidR="001F59D2">
        <w:rPr>
          <w:rStyle w:val="Sprotnaopomba-sklic"/>
          <w:rFonts w:cstheme="minorHAnsi"/>
          <w:b/>
          <w:color w:val="000000"/>
          <w:sz w:val="24"/>
          <w:szCs w:val="24"/>
        </w:rPr>
        <w:footnoteReference w:id="1"/>
      </w:r>
    </w:p>
    <w:p w:rsidR="002B23C8" w:rsidRPr="00C50E99" w:rsidRDefault="002B23C8" w:rsidP="002B2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3"/>
          <w:szCs w:val="23"/>
        </w:rPr>
      </w:pPr>
    </w:p>
    <w:p w:rsidR="002B23C8" w:rsidRPr="00C50E99" w:rsidRDefault="00771343" w:rsidP="00DE5438">
      <w:pPr>
        <w:rPr>
          <w:rFonts w:cstheme="minorHAnsi"/>
          <w:b/>
        </w:rPr>
      </w:pPr>
      <w:r w:rsidRPr="00C50E99">
        <w:rPr>
          <w:rFonts w:cstheme="minorHAnsi"/>
          <w:b/>
        </w:rPr>
        <w:t>Ime konzorcija in višina zaprošenih sredstev</w:t>
      </w:r>
      <w:r w:rsidR="001F59D2">
        <w:rPr>
          <w:rStyle w:val="Sprotnaopomba-sklic"/>
          <w:rFonts w:cstheme="minorHAnsi"/>
          <w:b/>
        </w:rPr>
        <w:footnoteReference w:id="2"/>
      </w:r>
      <w:r w:rsidRPr="00C50E99">
        <w:rPr>
          <w:rFonts w:cstheme="minorHAnsi"/>
          <w:b/>
        </w:rPr>
        <w:t xml:space="preserve">: </w:t>
      </w:r>
    </w:p>
    <w:tbl>
      <w:tblPr>
        <w:tblStyle w:val="TableNormal1"/>
        <w:tblW w:w="6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</w:tblGrid>
      <w:tr w:rsidR="00771343" w:rsidRPr="00C50E99" w:rsidTr="00B4529E">
        <w:trPr>
          <w:trHeight w:val="350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343" w:rsidRPr="00C50E99" w:rsidRDefault="00C50E99" w:rsidP="00771343">
            <w:pPr>
              <w:pStyle w:val="Brezrazmikov"/>
              <w:rPr>
                <w:i/>
                <w:lang w:val="sl-SI"/>
              </w:rPr>
            </w:pPr>
            <w:r w:rsidRPr="00C50E99">
              <w:rPr>
                <w:i/>
                <w:lang w:val="sl-SI"/>
              </w:rPr>
              <w:t>Konzorcij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343" w:rsidRPr="00C50E99" w:rsidRDefault="00C50E99" w:rsidP="00771343">
            <w:pPr>
              <w:pStyle w:val="Brezrazmikov"/>
              <w:rPr>
                <w:i/>
                <w:lang w:val="sl-SI"/>
              </w:rPr>
            </w:pPr>
            <w:r w:rsidRPr="00C50E99">
              <w:rPr>
                <w:i/>
                <w:lang w:val="sl-SI"/>
              </w:rPr>
              <w:t>Višina zaprošenih sredstev v EUR</w:t>
            </w:r>
          </w:p>
        </w:tc>
      </w:tr>
      <w:tr w:rsidR="00C50E99" w:rsidRPr="00C50E99" w:rsidTr="00B4529E">
        <w:trPr>
          <w:trHeight w:val="350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771343">
            <w:pPr>
              <w:pStyle w:val="Brezrazmikov"/>
              <w:rPr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101CB4" w:rsidP="00771343">
            <w:pPr>
              <w:pStyle w:val="Brezrazmikov"/>
              <w:rPr>
                <w:lang w:val="sl-SI"/>
              </w:rPr>
            </w:pPr>
            <w:r>
              <w:fldChar w:fldCharType="begin">
                <w:ffData>
                  <w:name w:val="NaslovPodAk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0" w:name="NaslovPodAk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663E00" w:rsidRPr="00C50E99" w:rsidRDefault="00663E00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C50E99" w:rsidRDefault="00C50E99" w:rsidP="00C50E99">
      <w:pPr>
        <w:rPr>
          <w:rFonts w:cstheme="minorHAnsi"/>
          <w:b/>
        </w:rPr>
      </w:pPr>
      <w:r>
        <w:rPr>
          <w:rFonts w:cstheme="minorHAnsi"/>
          <w:b/>
        </w:rPr>
        <w:t xml:space="preserve">I. </w:t>
      </w:r>
      <w:r w:rsidRPr="00C50E99">
        <w:rPr>
          <w:rFonts w:cstheme="minorHAnsi"/>
          <w:b/>
        </w:rPr>
        <w:t>KRITERIJ: Znanstvena odličnost</w:t>
      </w:r>
    </w:p>
    <w:p w:rsidR="00C50E99" w:rsidRDefault="00863C53" w:rsidP="00C50E99">
      <w:pPr>
        <w:rPr>
          <w:rFonts w:cstheme="minorHAnsi"/>
          <w:b/>
        </w:rPr>
      </w:pPr>
      <w:r>
        <w:rPr>
          <w:rFonts w:cstheme="minorHAnsi"/>
          <w:b/>
        </w:rPr>
        <w:t>1</w:t>
      </w:r>
      <w:r w:rsidR="00C50E99">
        <w:rPr>
          <w:rFonts w:cstheme="minorHAnsi"/>
          <w:b/>
        </w:rPr>
        <w:t>. Dostopnost</w:t>
      </w:r>
    </w:p>
    <w:p w:rsidR="00C50E99" w:rsidRDefault="00C50E99" w:rsidP="00C50E99">
      <w:pPr>
        <w:rPr>
          <w:rFonts w:cstheme="minorHAnsi"/>
          <w:b/>
        </w:rPr>
      </w:pPr>
      <w:r>
        <w:rPr>
          <w:rFonts w:cstheme="minorHAnsi"/>
          <w:b/>
        </w:rPr>
        <w:tab/>
      </w:r>
      <w:r w:rsidR="00D61CF5">
        <w:rPr>
          <w:rFonts w:cstheme="minorHAnsi"/>
          <w:b/>
        </w:rPr>
        <w:t>1</w:t>
      </w:r>
      <w:r>
        <w:rPr>
          <w:rFonts w:cstheme="minorHAnsi"/>
          <w:b/>
        </w:rPr>
        <w:t>.1 Število raziskovalcev, ki imajo dostop do prijavljenih vsebin</w:t>
      </w:r>
      <w:r w:rsidR="001F59D2">
        <w:rPr>
          <w:rStyle w:val="Sprotnaopomba-sklic"/>
          <w:rFonts w:cstheme="minorHAnsi"/>
          <w:b/>
        </w:rPr>
        <w:footnoteReference w:id="3"/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1022"/>
      </w:tblGrid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862368" w:rsidRDefault="00C50E99" w:rsidP="00C50E99">
            <w:pPr>
              <w:rPr>
                <w:rFonts w:cstheme="minorHAnsi"/>
                <w:i/>
              </w:rPr>
            </w:pPr>
            <w:r w:rsidRPr="00862368">
              <w:rPr>
                <w:rFonts w:cstheme="minorHAnsi"/>
                <w:i/>
              </w:rPr>
              <w:t>Število raziskovalcev, ki imajo dostop:</w:t>
            </w: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862368" w:rsidRDefault="00C50E99" w:rsidP="00C50E99">
            <w:pPr>
              <w:rPr>
                <w:rFonts w:cstheme="minorHAnsi"/>
                <w:i/>
              </w:rPr>
            </w:pPr>
            <w:r w:rsidRPr="00862368">
              <w:rPr>
                <w:rFonts w:cstheme="minorHAnsi"/>
                <w:i/>
              </w:rPr>
              <w:t>Ustrezno označite</w:t>
            </w:r>
          </w:p>
        </w:tc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>o 100 raziskovalcev</w:t>
            </w:r>
          </w:p>
        </w:tc>
        <w:sdt>
          <w:sdtPr>
            <w:rPr>
              <w:rFonts w:cstheme="minorHAnsi"/>
            </w:rPr>
            <w:id w:val="-147905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7B127B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>1 do 500</w:t>
            </w:r>
            <w:r w:rsidRPr="00C50E99">
              <w:rPr>
                <w:rFonts w:cstheme="minorHAnsi"/>
              </w:rPr>
              <w:t xml:space="preserve"> raziskovalcev</w:t>
            </w:r>
          </w:p>
        </w:tc>
        <w:sdt>
          <w:sdtPr>
            <w:rPr>
              <w:rFonts w:cstheme="minorHAnsi"/>
            </w:rPr>
            <w:id w:val="-107573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C50E99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C50E99">
              <w:rPr>
                <w:rFonts w:cstheme="minorHAnsi"/>
              </w:rPr>
              <w:t>0</w:t>
            </w:r>
            <w:r>
              <w:rPr>
                <w:rFonts w:cstheme="minorHAnsi"/>
              </w:rPr>
              <w:t>1 do 2000</w:t>
            </w:r>
            <w:r w:rsidRPr="00C50E99">
              <w:rPr>
                <w:rFonts w:cstheme="minorHAnsi"/>
              </w:rPr>
              <w:t xml:space="preserve"> raziskovalcev</w:t>
            </w:r>
          </w:p>
        </w:tc>
        <w:sdt>
          <w:sdtPr>
            <w:rPr>
              <w:rFonts w:cstheme="minorHAnsi"/>
            </w:rPr>
            <w:id w:val="180341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C50E99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2001 do 5000</w:t>
            </w:r>
            <w:r w:rsidRPr="00C50E99">
              <w:rPr>
                <w:rFonts w:cstheme="minorHAnsi"/>
              </w:rPr>
              <w:t xml:space="preserve"> raziskovalcev</w:t>
            </w:r>
          </w:p>
        </w:tc>
        <w:sdt>
          <w:sdtPr>
            <w:rPr>
              <w:rFonts w:cstheme="minorHAnsi"/>
            </w:rPr>
            <w:id w:val="-68159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C50E99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5001 do 8000</w:t>
            </w:r>
            <w:r w:rsidRPr="00C50E99">
              <w:rPr>
                <w:rFonts w:cstheme="minorHAnsi"/>
              </w:rPr>
              <w:t xml:space="preserve"> raziskovalcev</w:t>
            </w:r>
          </w:p>
        </w:tc>
        <w:sdt>
          <w:sdtPr>
            <w:rPr>
              <w:rFonts w:cstheme="minorHAnsi"/>
            </w:rPr>
            <w:id w:val="-14049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C50E99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>
              <w:rPr>
                <w:rFonts w:cstheme="minorHAnsi"/>
              </w:rPr>
              <w:t>nad 8</w:t>
            </w:r>
            <w:r w:rsidRPr="00C50E99">
              <w:rPr>
                <w:rFonts w:cstheme="minorHAnsi"/>
              </w:rPr>
              <w:t>00 raziskovalcev</w:t>
            </w:r>
          </w:p>
        </w:tc>
        <w:sdt>
          <w:sdtPr>
            <w:rPr>
              <w:rFonts w:cstheme="minorHAnsi"/>
            </w:rPr>
            <w:id w:val="-188138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C50E99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C50E99" w:rsidRDefault="00C50E99" w:rsidP="00C50E99">
      <w:pPr>
        <w:rPr>
          <w:rFonts w:cstheme="minorHAnsi"/>
          <w:b/>
        </w:rPr>
      </w:pPr>
    </w:p>
    <w:p w:rsidR="007B127B" w:rsidRDefault="00863C53" w:rsidP="00C50E99">
      <w:pPr>
        <w:rPr>
          <w:rFonts w:cstheme="minorHAnsi"/>
          <w:b/>
        </w:rPr>
      </w:pPr>
      <w:r>
        <w:rPr>
          <w:rFonts w:cstheme="minorHAnsi"/>
          <w:b/>
        </w:rPr>
        <w:t>2</w:t>
      </w:r>
      <w:r w:rsidR="007B127B">
        <w:rPr>
          <w:rFonts w:cstheme="minorHAnsi"/>
          <w:b/>
        </w:rPr>
        <w:t>. Pogostnost uporabe</w:t>
      </w:r>
    </w:p>
    <w:p w:rsidR="007B127B" w:rsidRPr="00C50E99" w:rsidRDefault="007B127B" w:rsidP="00C50E99">
      <w:pPr>
        <w:rPr>
          <w:rFonts w:cstheme="minorHAnsi"/>
          <w:b/>
        </w:rPr>
      </w:pPr>
      <w:r>
        <w:rPr>
          <w:rFonts w:cstheme="minorHAnsi"/>
          <w:b/>
        </w:rPr>
        <w:tab/>
      </w:r>
      <w:r w:rsidR="00863C53">
        <w:rPr>
          <w:rFonts w:cstheme="minorHAnsi"/>
          <w:b/>
        </w:rPr>
        <w:t>2</w:t>
      </w:r>
      <w:r>
        <w:rPr>
          <w:rFonts w:cstheme="minorHAnsi"/>
          <w:b/>
        </w:rPr>
        <w:t>.1 Navedite število izposoj in uporabe prijavljenih serijskih publikacij v letu 2023</w:t>
      </w:r>
      <w:r w:rsidR="001F59D2">
        <w:rPr>
          <w:rStyle w:val="Sprotnaopomba-sklic"/>
          <w:rFonts w:cstheme="minorHAnsi"/>
          <w:b/>
        </w:rPr>
        <w:footnoteReference w:id="4"/>
      </w:r>
    </w:p>
    <w:tbl>
      <w:tblPr>
        <w:tblStyle w:val="TableNormal1"/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417"/>
      </w:tblGrid>
      <w:tr w:rsidR="00B4529E" w:rsidRPr="00C50E99" w:rsidTr="00B4529E">
        <w:trPr>
          <w:trHeight w:val="330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3C8" w:rsidRPr="00C50E99" w:rsidRDefault="002B23C8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4529E" w:rsidRPr="00C50E99" w:rsidRDefault="00B4529E">
            <w:r>
              <w:t xml:space="preserve"> </w:t>
            </w: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</w:tbl>
    <w:p w:rsidR="002B23C8" w:rsidRPr="00C50E99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B4D3F" w:rsidRPr="00C50E99" w:rsidRDefault="00863C53" w:rsidP="004B4D3F">
      <w:pPr>
        <w:ind w:left="708"/>
        <w:rPr>
          <w:rFonts w:cstheme="minorHAnsi"/>
          <w:b/>
        </w:rPr>
      </w:pPr>
      <w:r>
        <w:rPr>
          <w:rFonts w:cstheme="minorHAnsi"/>
          <w:b/>
        </w:rPr>
        <w:t>2</w:t>
      </w:r>
      <w:r w:rsidR="004B4D3F">
        <w:rPr>
          <w:rFonts w:cstheme="minorHAnsi"/>
          <w:b/>
        </w:rPr>
        <w:t xml:space="preserve">.2 Navedite število objav slovenskih avtorjev v prijavljenih serijskih publikacijah na prijavljeno serijsko publikacijo (povprečje za leti 2022 in 2023) </w:t>
      </w:r>
      <w:r w:rsidR="001F59D2">
        <w:rPr>
          <w:rStyle w:val="Sprotnaopomba-sklic"/>
          <w:rFonts w:cstheme="minorHAnsi"/>
          <w:b/>
        </w:rPr>
        <w:footnoteReference w:id="5"/>
      </w:r>
    </w:p>
    <w:tbl>
      <w:tblPr>
        <w:tblStyle w:val="TableNormal1"/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417"/>
      </w:tblGrid>
      <w:tr w:rsidR="00B4529E" w:rsidRPr="00C50E99" w:rsidTr="004114F2">
        <w:trPr>
          <w:trHeight w:val="330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29E" w:rsidRPr="00C50E99" w:rsidRDefault="00B4529E" w:rsidP="004114F2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4529E" w:rsidRPr="00C50E99" w:rsidRDefault="00B4529E" w:rsidP="004114F2">
            <w:r>
              <w:t xml:space="preserve"> </w:t>
            </w:r>
            <w:r w:rsidR="00203767"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="00203767" w:rsidRPr="00C50E99">
              <w:rPr>
                <w:lang w:val="sl-SI"/>
              </w:rPr>
              <w:instrText xml:space="preserve"> FORMTEXT </w:instrText>
            </w:r>
            <w:r w:rsidR="00203767" w:rsidRPr="00C50E99">
              <w:fldChar w:fldCharType="separate"/>
            </w:r>
            <w:r w:rsidR="00203767" w:rsidRPr="00C50E99">
              <w:rPr>
                <w:noProof/>
                <w:lang w:val="sl-SI"/>
              </w:rPr>
              <w:t> </w:t>
            </w:r>
            <w:r w:rsidR="00203767" w:rsidRPr="00C50E99">
              <w:rPr>
                <w:noProof/>
                <w:lang w:val="sl-SI"/>
              </w:rPr>
              <w:t> </w:t>
            </w:r>
            <w:r w:rsidR="00203767" w:rsidRPr="00C50E99">
              <w:rPr>
                <w:noProof/>
                <w:lang w:val="sl-SI"/>
              </w:rPr>
              <w:t> </w:t>
            </w:r>
            <w:r w:rsidR="00203767" w:rsidRPr="00C50E99">
              <w:rPr>
                <w:noProof/>
                <w:lang w:val="sl-SI"/>
              </w:rPr>
              <w:t> </w:t>
            </w:r>
            <w:r w:rsidR="00203767" w:rsidRPr="00C50E99">
              <w:rPr>
                <w:noProof/>
                <w:lang w:val="sl-SI"/>
              </w:rPr>
              <w:t> </w:t>
            </w:r>
            <w:r w:rsidR="00203767" w:rsidRPr="00C50E99">
              <w:fldChar w:fldCharType="end"/>
            </w:r>
          </w:p>
        </w:tc>
      </w:tr>
    </w:tbl>
    <w:p w:rsidR="004B4D3F" w:rsidRPr="00C50E99" w:rsidRDefault="004B4D3F" w:rsidP="004B4D3F">
      <w:pPr>
        <w:pStyle w:val="Brezrazmikov"/>
      </w:pPr>
    </w:p>
    <w:p w:rsidR="004B4D3F" w:rsidRDefault="004B4D3F" w:rsidP="004B4D3F">
      <w:pPr>
        <w:pStyle w:val="Brezrazmikov"/>
      </w:pPr>
    </w:p>
    <w:p w:rsidR="001F59D2" w:rsidRDefault="001F59D2" w:rsidP="004B4D3F">
      <w:pPr>
        <w:pStyle w:val="Brezrazmikov"/>
      </w:pPr>
    </w:p>
    <w:p w:rsidR="001F59D2" w:rsidRDefault="001F59D2" w:rsidP="004B4D3F">
      <w:pPr>
        <w:pStyle w:val="Brezrazmikov"/>
      </w:pPr>
    </w:p>
    <w:p w:rsidR="001F59D2" w:rsidRDefault="001F59D2" w:rsidP="004B4D3F">
      <w:pPr>
        <w:pStyle w:val="Brezrazmikov"/>
      </w:pPr>
    </w:p>
    <w:p w:rsidR="001F59D2" w:rsidRDefault="001F59D2" w:rsidP="004B4D3F">
      <w:pPr>
        <w:pStyle w:val="Brezrazmikov"/>
      </w:pPr>
    </w:p>
    <w:p w:rsidR="001F59D2" w:rsidRDefault="00863C53" w:rsidP="001F59D2">
      <w:pPr>
        <w:pStyle w:val="Brezrazmikov"/>
        <w:rPr>
          <w:b/>
        </w:rPr>
      </w:pPr>
      <w:r>
        <w:rPr>
          <w:b/>
        </w:rPr>
        <w:t>3</w:t>
      </w:r>
      <w:r w:rsidR="001F59D2">
        <w:rPr>
          <w:b/>
        </w:rPr>
        <w:t>. Kakovost in pomen naročene mednarodne znanstvene literature</w:t>
      </w:r>
    </w:p>
    <w:p w:rsidR="001F59D2" w:rsidRDefault="001F59D2" w:rsidP="001F59D2">
      <w:pPr>
        <w:pStyle w:val="Brezrazmikov"/>
      </w:pPr>
      <w:r>
        <w:t>Povprečno število točk v izpisu Z-SEZ-25 in utemeljitev:</w:t>
      </w:r>
    </w:p>
    <w:p w:rsidR="001F59D2" w:rsidRPr="00C50E99" w:rsidRDefault="001F59D2" w:rsidP="004B4D3F">
      <w:pPr>
        <w:pStyle w:val="Brezrazmikov"/>
      </w:pP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B23C8" w:rsidRPr="00C50E99" w:rsidTr="004B4D3F">
        <w:trPr>
          <w:trHeight w:val="328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3C8" w:rsidRPr="00C50E99" w:rsidRDefault="002B23C8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</w:tbl>
    <w:p w:rsidR="002B23C8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B4D3F" w:rsidRDefault="004B4D3F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B4D3F" w:rsidRDefault="004B4D3F" w:rsidP="004B4D3F">
      <w:pPr>
        <w:rPr>
          <w:rFonts w:cstheme="minorHAnsi"/>
          <w:b/>
        </w:rPr>
      </w:pPr>
      <w:r>
        <w:rPr>
          <w:rFonts w:cstheme="minorHAnsi"/>
          <w:b/>
        </w:rPr>
        <w:t xml:space="preserve">II. </w:t>
      </w:r>
      <w:r w:rsidRPr="00C50E99">
        <w:rPr>
          <w:rFonts w:cstheme="minorHAnsi"/>
          <w:b/>
        </w:rPr>
        <w:t xml:space="preserve">KRITERIJ: </w:t>
      </w:r>
      <w:r>
        <w:rPr>
          <w:rFonts w:cstheme="minorHAnsi"/>
          <w:b/>
        </w:rPr>
        <w:t>Kakovost in učinkovitost izvedbe</w:t>
      </w:r>
    </w:p>
    <w:p w:rsidR="004B4D3F" w:rsidRDefault="00863C53" w:rsidP="004B4D3F">
      <w:pPr>
        <w:rPr>
          <w:rFonts w:cstheme="minorHAnsi"/>
          <w:b/>
        </w:rPr>
      </w:pPr>
      <w:r>
        <w:rPr>
          <w:rFonts w:cstheme="minorHAnsi"/>
          <w:b/>
        </w:rPr>
        <w:t>4</w:t>
      </w:r>
      <w:r w:rsidR="004B4D3F">
        <w:rPr>
          <w:rFonts w:cstheme="minorHAnsi"/>
          <w:b/>
        </w:rPr>
        <w:t>. Skladnost predlaganega obsega aktivnosti s predvidenimi finančnimi sredstvi in zagotavljanje gospodarne rabe sredstev</w:t>
      </w:r>
    </w:p>
    <w:p w:rsidR="004B4D3F" w:rsidRDefault="00863C53" w:rsidP="004B4D3F">
      <w:pPr>
        <w:pStyle w:val="TableParagraph"/>
        <w:ind w:right="308" w:firstLine="70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</w:rPr>
        <w:t>4</w:t>
      </w:r>
      <w:r w:rsidR="004B4D3F">
        <w:rPr>
          <w:rFonts w:cstheme="minorHAnsi"/>
          <w:b/>
        </w:rPr>
        <w:t>.1 Strošek članka</w:t>
      </w:r>
      <w:r w:rsidR="001F59D2">
        <w:rPr>
          <w:rStyle w:val="Sprotnaopomba-sklic"/>
          <w:rFonts w:cstheme="minorHAnsi"/>
          <w:b/>
        </w:rPr>
        <w:footnoteReference w:id="6"/>
      </w:r>
    </w:p>
    <w:p w:rsidR="004B4D3F" w:rsidRDefault="004B4D3F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1"/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678"/>
      </w:tblGrid>
      <w:tr w:rsidR="004B4D3F" w:rsidRPr="00C50E99" w:rsidTr="004B4D3F">
        <w:trPr>
          <w:trHeight w:val="330"/>
        </w:trPr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862368" w:rsidRDefault="004B4D3F" w:rsidP="004B4D3F">
            <w:pPr>
              <w:pStyle w:val="Brezrazmikov"/>
              <w:rPr>
                <w:rFonts w:eastAsia="Calibri" w:cstheme="minorHAnsi"/>
                <w:i/>
                <w:sz w:val="20"/>
                <w:szCs w:val="20"/>
                <w:lang w:val="sl-SI"/>
              </w:rPr>
            </w:pPr>
            <w:r w:rsidRPr="00862368">
              <w:rPr>
                <w:i/>
                <w:lang w:val="sl-SI"/>
              </w:rPr>
              <w:t>Povprečni strošek članka prijavljenih revij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C50E99" w:rsidRDefault="004B4D3F" w:rsidP="004B4D3F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</w:tbl>
    <w:p w:rsidR="004B4D3F" w:rsidRPr="00C50E99" w:rsidRDefault="004B4D3F" w:rsidP="004B4D3F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B4D3F" w:rsidRDefault="00863C53" w:rsidP="004B4D3F">
      <w:pPr>
        <w:pStyle w:val="TableParagraph"/>
        <w:ind w:right="308" w:firstLine="70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</w:rPr>
        <w:t>4</w:t>
      </w:r>
      <w:r w:rsidR="004B4D3F">
        <w:rPr>
          <w:rFonts w:cstheme="minorHAnsi"/>
          <w:b/>
        </w:rPr>
        <w:t>.2 Dostop do tekočih vsebin</w:t>
      </w:r>
      <w:r w:rsidR="001F59D2">
        <w:rPr>
          <w:rStyle w:val="Sprotnaopomba-sklic"/>
          <w:rFonts w:cstheme="minorHAnsi"/>
          <w:b/>
        </w:rPr>
        <w:footnoteReference w:id="7"/>
      </w:r>
    </w:p>
    <w:p w:rsidR="004B4D3F" w:rsidRDefault="004B4D3F" w:rsidP="004B4D3F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1"/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678"/>
      </w:tblGrid>
      <w:tr w:rsidR="004B4D3F" w:rsidRPr="00C50E99" w:rsidTr="004114F2">
        <w:trPr>
          <w:trHeight w:val="330"/>
        </w:trPr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862368" w:rsidRDefault="004B4D3F" w:rsidP="004114F2">
            <w:pPr>
              <w:pStyle w:val="Brezrazmikov"/>
              <w:rPr>
                <w:rFonts w:eastAsia="Calibri" w:cstheme="minorHAnsi"/>
                <w:i/>
                <w:sz w:val="20"/>
                <w:szCs w:val="20"/>
                <w:lang w:val="sl-SI"/>
              </w:rPr>
            </w:pPr>
            <w:r w:rsidRPr="00862368">
              <w:rPr>
                <w:i/>
                <w:lang w:val="sl-SI"/>
              </w:rPr>
              <w:t>Dostop do tekočih vsebin (članki v tisku)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C50E99" w:rsidRDefault="004B4D3F" w:rsidP="004114F2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</w:p>
        </w:tc>
      </w:tr>
      <w:tr w:rsidR="004B4D3F" w:rsidRPr="00C50E99" w:rsidTr="004114F2">
        <w:trPr>
          <w:trHeight w:val="330"/>
        </w:trPr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Default="004B4D3F" w:rsidP="004114F2">
            <w:pPr>
              <w:pStyle w:val="Brezrazmikov"/>
            </w:pPr>
            <w:r>
              <w:t>Do 80% naslovov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C50E99" w:rsidRDefault="004B4D3F" w:rsidP="004114F2">
            <w:pPr>
              <w:pStyle w:val="Brezrazmikov"/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  <w:tr w:rsidR="004B4D3F" w:rsidRPr="00C50E99" w:rsidTr="004114F2">
        <w:trPr>
          <w:trHeight w:val="330"/>
        </w:trPr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Default="004B4D3F" w:rsidP="004114F2">
            <w:pPr>
              <w:pStyle w:val="Brezrazmikov"/>
            </w:pPr>
            <w:r>
              <w:t>80% in več naslovov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C50E99" w:rsidRDefault="004B4D3F" w:rsidP="004114F2">
            <w:pPr>
              <w:pStyle w:val="Brezrazmikov"/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</w:tbl>
    <w:p w:rsidR="004B4D3F" w:rsidRDefault="004B4D3F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B4D3F" w:rsidRDefault="004B4D3F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DA3680" w:rsidRDefault="00DA3680" w:rsidP="00DA368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DA3680" w:rsidRDefault="00DA3680" w:rsidP="00DA3680">
      <w:pPr>
        <w:rPr>
          <w:rFonts w:cstheme="minorHAnsi"/>
          <w:b/>
        </w:rPr>
      </w:pPr>
      <w:r>
        <w:rPr>
          <w:rFonts w:cstheme="minorHAnsi"/>
          <w:b/>
        </w:rPr>
        <w:t xml:space="preserve">III. </w:t>
      </w:r>
      <w:r w:rsidRPr="00C50E99">
        <w:rPr>
          <w:rFonts w:cstheme="minorHAnsi"/>
          <w:b/>
        </w:rPr>
        <w:t xml:space="preserve">KRITERIJ: </w:t>
      </w:r>
      <w:r>
        <w:rPr>
          <w:rFonts w:cstheme="minorHAnsi"/>
          <w:b/>
        </w:rPr>
        <w:t>Družbeni in gospodarski vpliv</w:t>
      </w:r>
    </w:p>
    <w:p w:rsidR="00DA3680" w:rsidRDefault="00863C53" w:rsidP="00DA3680">
      <w:pPr>
        <w:rPr>
          <w:rFonts w:cstheme="minorHAnsi"/>
          <w:b/>
        </w:rPr>
      </w:pPr>
      <w:r>
        <w:rPr>
          <w:rFonts w:cstheme="minorHAnsi"/>
          <w:b/>
        </w:rPr>
        <w:t>5</w:t>
      </w:r>
      <w:r w:rsidR="00DA3680">
        <w:rPr>
          <w:rFonts w:cstheme="minorHAnsi"/>
          <w:b/>
        </w:rPr>
        <w:t>. Delež sredstev iz drugih virov</w:t>
      </w:r>
      <w:r w:rsidR="001F59D2">
        <w:rPr>
          <w:rStyle w:val="Sprotnaopomba-sklic"/>
          <w:rFonts w:cstheme="minorHAnsi"/>
          <w:b/>
        </w:rPr>
        <w:footnoteReference w:id="8"/>
      </w:r>
    </w:p>
    <w:tbl>
      <w:tblPr>
        <w:tblStyle w:val="TableNormal1"/>
        <w:tblW w:w="6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1134"/>
      </w:tblGrid>
      <w:tr w:rsidR="00862368" w:rsidRPr="00C50E99" w:rsidTr="00862368">
        <w:trPr>
          <w:trHeight w:val="330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368" w:rsidRPr="00862368" w:rsidRDefault="00862368" w:rsidP="00862368">
            <w:pPr>
              <w:pStyle w:val="Brezrazmikov"/>
              <w:rPr>
                <w:rFonts w:eastAsia="Calibri" w:cstheme="minorHAnsi"/>
                <w:i/>
                <w:sz w:val="20"/>
                <w:szCs w:val="20"/>
                <w:lang w:val="sl-SI"/>
              </w:rPr>
            </w:pPr>
            <w:r w:rsidRPr="00862368">
              <w:rPr>
                <w:i/>
                <w:lang w:val="sl-SI"/>
              </w:rPr>
              <w:t>Za serijske publikacije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368" w:rsidRPr="00C50E99" w:rsidRDefault="00862368" w:rsidP="00862368">
            <w:pPr>
              <w:pStyle w:val="Brezrazmikov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368" w:rsidRPr="00C50E99" w:rsidRDefault="00862368" w:rsidP="00862368">
            <w:pPr>
              <w:pStyle w:val="Brezrazmikov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lang w:val="sl-SI"/>
              </w:rPr>
              <w:t>% (letno)</w:t>
            </w:r>
          </w:p>
        </w:tc>
      </w:tr>
    </w:tbl>
    <w:p w:rsidR="004B4D3F" w:rsidRDefault="004B4D3F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E768FC" w:rsidRPr="00C50E99" w:rsidRDefault="00E768FC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DC0C8F" w:rsidRPr="00C50E99" w:rsidRDefault="00DC0C8F" w:rsidP="00DC0C8F">
      <w:pPr>
        <w:rPr>
          <w:rFonts w:cstheme="minorHAnsi"/>
          <w:b/>
          <w:i/>
        </w:rPr>
      </w:pPr>
    </w:p>
    <w:sectPr w:rsidR="00DC0C8F" w:rsidRPr="00C50E99" w:rsidSect="001D21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F4" w:rsidRDefault="00AA4EF4" w:rsidP="00C578BC">
      <w:pPr>
        <w:spacing w:after="0" w:line="240" w:lineRule="auto"/>
      </w:pPr>
      <w:r>
        <w:separator/>
      </w:r>
    </w:p>
  </w:endnote>
  <w:endnote w:type="continuationSeparator" w:id="0">
    <w:p w:rsidR="00AA4EF4" w:rsidRDefault="00AA4EF4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815189"/>
      <w:docPartObj>
        <w:docPartGallery w:val="Page Numbers (Bottom of Page)"/>
        <w:docPartUnique/>
      </w:docPartObj>
    </w:sdtPr>
    <w:sdtEndPr/>
    <w:sdtContent>
      <w:p w:rsidR="00F44F27" w:rsidRDefault="00F44F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2CB1" w:rsidRDefault="009A2CB1" w:rsidP="001D21D0">
    <w:pPr>
      <w:pStyle w:val="Glava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Obrazec </w:t>
    </w:r>
  </w:p>
  <w:p w:rsidR="001D21D0" w:rsidRPr="00D46F76" w:rsidRDefault="00771343" w:rsidP="001D21D0">
    <w:pPr>
      <w:pStyle w:val="Glava"/>
      <w:rPr>
        <w:rFonts w:ascii="Calibri" w:hAnsi="Calibri" w:cs="Calibri"/>
        <w:sz w:val="20"/>
      </w:rPr>
    </w:pPr>
    <w:r w:rsidRPr="00771343">
      <w:rPr>
        <w:rFonts w:ascii="Calibri" w:hAnsi="Calibri" w:cs="Calibri"/>
        <w:sz w:val="20"/>
      </w:rPr>
      <w:t>ARIS-MZL-2024_Priloga1</w:t>
    </w:r>
  </w:p>
  <w:p w:rsidR="00F44F27" w:rsidRDefault="00F44F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F4" w:rsidRDefault="00AA4EF4" w:rsidP="00C578BC">
      <w:pPr>
        <w:spacing w:after="0" w:line="240" w:lineRule="auto"/>
      </w:pPr>
      <w:r>
        <w:separator/>
      </w:r>
    </w:p>
  </w:footnote>
  <w:footnote w:type="continuationSeparator" w:id="0">
    <w:p w:rsidR="00AA4EF4" w:rsidRDefault="00AA4EF4" w:rsidP="00C578BC">
      <w:pPr>
        <w:spacing w:after="0" w:line="240" w:lineRule="auto"/>
      </w:pPr>
      <w:r>
        <w:continuationSeparator/>
      </w:r>
    </w:p>
  </w:footnote>
  <w:footnote w:id="1">
    <w:p w:rsidR="001F59D2" w:rsidRPr="001F59D2" w:rsidRDefault="001F59D2" w:rsidP="009B6F58">
      <w:pPr>
        <w:pStyle w:val="Brezrazmikov"/>
        <w:jc w:val="both"/>
        <w:rPr>
          <w:sz w:val="20"/>
        </w:rPr>
      </w:pPr>
      <w:r w:rsidRPr="001F59D2">
        <w:rPr>
          <w:rStyle w:val="Sprotnaopomba-sklic"/>
          <w:sz w:val="20"/>
        </w:rPr>
        <w:footnoteRef/>
      </w:r>
      <w:r w:rsidRPr="001F59D2">
        <w:rPr>
          <w:sz w:val="20"/>
        </w:rPr>
        <w:t xml:space="preserve"> Podatke o naročenih serijskih publikacijah v letu 2024 je treba ažurirati v sistemu COBISS.SI. Po oddaji prijave na javni razpis teh podatkov v sistemu COBISS.SI ni dovoljeno spreminjati. </w:t>
      </w:r>
    </w:p>
    <w:p w:rsidR="001F59D2" w:rsidRPr="001F59D2" w:rsidRDefault="001F59D2" w:rsidP="009B6F58">
      <w:pPr>
        <w:pStyle w:val="Brezrazmikov"/>
        <w:jc w:val="both"/>
        <w:rPr>
          <w:sz w:val="20"/>
        </w:rPr>
      </w:pPr>
      <w:r w:rsidRPr="001F59D2">
        <w:rPr>
          <w:rStyle w:val="Sprotnaopomba-sklic"/>
          <w:sz w:val="20"/>
        </w:rPr>
        <w:t>2</w:t>
      </w:r>
      <w:r w:rsidRPr="001F59D2">
        <w:rPr>
          <w:sz w:val="20"/>
        </w:rPr>
        <w:t xml:space="preserve"> Izpolniti le v primeru prijave za konzorcij.</w:t>
      </w:r>
    </w:p>
  </w:footnote>
  <w:footnote w:id="2">
    <w:p w:rsidR="001F59D2" w:rsidRPr="001F59D2" w:rsidRDefault="001F59D2" w:rsidP="009B6F58">
      <w:pPr>
        <w:pStyle w:val="Brezrazmikov"/>
        <w:jc w:val="both"/>
        <w:rPr>
          <w:sz w:val="20"/>
        </w:rPr>
      </w:pPr>
      <w:r w:rsidRPr="001F59D2">
        <w:rPr>
          <w:rStyle w:val="Sprotnaopomba-sklic"/>
          <w:sz w:val="20"/>
        </w:rPr>
        <w:t>3</w:t>
      </w:r>
      <w:r w:rsidRPr="001F59D2">
        <w:rPr>
          <w:sz w:val="20"/>
        </w:rPr>
        <w:t xml:space="preserve"> Konzorciji prijavijo skupno število raziskovalcev članic posameznega konzorcija.</w:t>
      </w:r>
    </w:p>
  </w:footnote>
  <w:footnote w:id="3">
    <w:p w:rsidR="001F59D2" w:rsidRPr="001F59D2" w:rsidRDefault="001F59D2" w:rsidP="009B6F58">
      <w:pPr>
        <w:pStyle w:val="Brezrazmikov"/>
        <w:jc w:val="both"/>
        <w:rPr>
          <w:sz w:val="20"/>
        </w:rPr>
      </w:pPr>
      <w:r w:rsidRPr="001F59D2">
        <w:rPr>
          <w:rStyle w:val="Sprotnaopomba-sklic"/>
          <w:sz w:val="20"/>
        </w:rPr>
        <w:t>4</w:t>
      </w:r>
      <w:r w:rsidRPr="001F59D2">
        <w:rPr>
          <w:sz w:val="20"/>
        </w:rPr>
        <w:t xml:space="preserve"> Pri poročanju o uporabi elektronskih revij v letu 2023 uporabite skupno število dostopov do    celotnega besedila po zadnji verziji standarda COUNTER (Unique Items Requests). V prijavi navedite zadnjo verzijo COUNTER. Za nabavne konzorcije velja, da navedejo podatke samo za prijavljene revije.</w:t>
      </w:r>
    </w:p>
    <w:p w:rsidR="001F59D2" w:rsidRDefault="001F59D2" w:rsidP="009B6F58">
      <w:pPr>
        <w:jc w:val="both"/>
      </w:pPr>
      <w:r w:rsidRPr="001F59D2">
        <w:rPr>
          <w:rStyle w:val="Sprotnaopomba-sklic"/>
          <w:sz w:val="20"/>
        </w:rPr>
        <w:t>5</w:t>
      </w:r>
      <w:r w:rsidRPr="001F59D2">
        <w:rPr>
          <w:sz w:val="20"/>
        </w:rPr>
        <w:t xml:space="preserve"> Podatek o povprečju (število objav na število prijavljenih revij) prepišite iz sistema Z-</w:t>
      </w:r>
      <w:r w:rsidR="002D79D6" w:rsidRPr="001F59D2">
        <w:rPr>
          <w:sz w:val="20"/>
        </w:rPr>
        <w:t>S</w:t>
      </w:r>
      <w:r w:rsidRPr="001F59D2">
        <w:rPr>
          <w:sz w:val="20"/>
        </w:rPr>
        <w:t>E</w:t>
      </w:r>
      <w:r w:rsidR="002D79D6" w:rsidRPr="001F59D2">
        <w:rPr>
          <w:sz w:val="20"/>
        </w:rPr>
        <w:t>Z</w:t>
      </w:r>
      <w:r w:rsidRPr="001F59D2">
        <w:rPr>
          <w:sz w:val="20"/>
        </w:rPr>
        <w:t>-25.</w:t>
      </w:r>
    </w:p>
  </w:footnote>
  <w:footnote w:id="4">
    <w:p w:rsidR="001F59D2" w:rsidRDefault="001F59D2" w:rsidP="009B6F58">
      <w:pPr>
        <w:pStyle w:val="Brezrazmikov"/>
        <w:jc w:val="both"/>
      </w:pPr>
    </w:p>
  </w:footnote>
  <w:footnote w:id="5">
    <w:p w:rsidR="001F59D2" w:rsidRDefault="001F59D2">
      <w:pPr>
        <w:pStyle w:val="Sprotnaopomba-besedilo"/>
      </w:pPr>
    </w:p>
  </w:footnote>
  <w:footnote w:id="6">
    <w:p w:rsidR="001F59D2" w:rsidRDefault="001F59D2" w:rsidP="009B6F58">
      <w:pPr>
        <w:pStyle w:val="Brezrazmikov"/>
        <w:jc w:val="both"/>
      </w:pPr>
      <w:r>
        <w:rPr>
          <w:rStyle w:val="Sprotnaopomba-sklic"/>
        </w:rPr>
        <w:footnoteRef/>
      </w:r>
      <w:r>
        <w:t xml:space="preserve"> Strošek članka se izračuna tako, da se sredstva za nak</w:t>
      </w:r>
      <w:r w:rsidR="009B6F58">
        <w:t>u</w:t>
      </w:r>
      <w:r>
        <w:t>p delijo s številom prenesenih člankov prijavljenih serijskih publikacij.</w:t>
      </w:r>
    </w:p>
  </w:footnote>
  <w:footnote w:id="7">
    <w:p w:rsidR="001F59D2" w:rsidRDefault="001F59D2" w:rsidP="009B6F58">
      <w:pPr>
        <w:pStyle w:val="Brezrazmikov"/>
        <w:jc w:val="both"/>
      </w:pPr>
      <w:r>
        <w:rPr>
          <w:rStyle w:val="Sprotnaopomba-sklic"/>
        </w:rPr>
        <w:footnoteRef/>
      </w:r>
      <w:r>
        <w:t xml:space="preserve"> Dostop do tekočih vsebin se ugotavlja z deležem prijavljenih serijskih publikacij, ki omogočajo dostop do člankov v tisku. </w:t>
      </w:r>
    </w:p>
  </w:footnote>
  <w:footnote w:id="8">
    <w:p w:rsidR="001F59D2" w:rsidRDefault="001F59D2" w:rsidP="009B6F58">
      <w:pPr>
        <w:pStyle w:val="Brezrazmikov"/>
        <w:jc w:val="both"/>
      </w:pPr>
      <w:r>
        <w:rPr>
          <w:rStyle w:val="Sprotnaopomba-sklic"/>
        </w:rPr>
        <w:footnoteRef/>
      </w:r>
      <w:r>
        <w:t xml:space="preserve"> Kot sredstva iz drugih virov se štejejo sredstva, ki niso bila pridobljena iz proračuna Republike Slovenije.</w:t>
      </w:r>
    </w:p>
    <w:p w:rsidR="001F59D2" w:rsidRDefault="001F59D2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27" w:rsidRPr="00D46F76" w:rsidRDefault="001D21D0" w:rsidP="00F44F27">
    <w:pPr>
      <w:pStyle w:val="Glava"/>
      <w:rPr>
        <w:rFonts w:ascii="Calibri" w:hAnsi="Calibri" w:cs="Calibri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5D315E" wp14:editId="613BB27F">
          <wp:simplePos x="0" y="0"/>
          <wp:positionH relativeFrom="margin">
            <wp:posOffset>3826631</wp:posOffset>
          </wp:positionH>
          <wp:positionV relativeFrom="paragraph">
            <wp:posOffset>-111125</wp:posOffset>
          </wp:positionV>
          <wp:extent cx="2444750" cy="5060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4F27" w:rsidRDefault="00F44F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3E76F6"/>
    <w:multiLevelType w:val="hybridMultilevel"/>
    <w:tmpl w:val="0E040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66A1"/>
    <w:multiLevelType w:val="hybridMultilevel"/>
    <w:tmpl w:val="2B62AE2C"/>
    <w:lvl w:ilvl="0" w:tplc="498620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7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276"/>
    <w:multiLevelType w:val="hybridMultilevel"/>
    <w:tmpl w:val="29CA71E4"/>
    <w:lvl w:ilvl="0" w:tplc="E9D8C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67CF0"/>
    <w:multiLevelType w:val="hybridMultilevel"/>
    <w:tmpl w:val="FC4CB0E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WbcZWkhpTkgap0rs7DYRj2Czq15Ynv1wsR/nqnYdofvTBjJkJ58JI3+Y9V0Fl8yRN9DDaetL7tjcqDwhwa8kw==" w:salt="g5yq8aRJNhnduWMaf0JTm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C66DB"/>
    <w:rsid w:val="000E7253"/>
    <w:rsid w:val="00101CB4"/>
    <w:rsid w:val="001132E7"/>
    <w:rsid w:val="00126185"/>
    <w:rsid w:val="00180ECB"/>
    <w:rsid w:val="00185609"/>
    <w:rsid w:val="001A2D12"/>
    <w:rsid w:val="001B0684"/>
    <w:rsid w:val="001D21D0"/>
    <w:rsid w:val="001F59D2"/>
    <w:rsid w:val="00203767"/>
    <w:rsid w:val="00242CB3"/>
    <w:rsid w:val="00272B83"/>
    <w:rsid w:val="002736DB"/>
    <w:rsid w:val="002755E1"/>
    <w:rsid w:val="002830CE"/>
    <w:rsid w:val="002B23C8"/>
    <w:rsid w:val="002B5001"/>
    <w:rsid w:val="002C3415"/>
    <w:rsid w:val="002D79D6"/>
    <w:rsid w:val="00341BF7"/>
    <w:rsid w:val="00357053"/>
    <w:rsid w:val="003B6D7B"/>
    <w:rsid w:val="003C3FC7"/>
    <w:rsid w:val="003D3794"/>
    <w:rsid w:val="003D5EE4"/>
    <w:rsid w:val="003E403B"/>
    <w:rsid w:val="00405996"/>
    <w:rsid w:val="00406376"/>
    <w:rsid w:val="00431CE2"/>
    <w:rsid w:val="00442A7B"/>
    <w:rsid w:val="004B4D3F"/>
    <w:rsid w:val="004D559B"/>
    <w:rsid w:val="0052600F"/>
    <w:rsid w:val="0054009B"/>
    <w:rsid w:val="005614D4"/>
    <w:rsid w:val="005A3B2A"/>
    <w:rsid w:val="005B21AD"/>
    <w:rsid w:val="005F7810"/>
    <w:rsid w:val="00616FE4"/>
    <w:rsid w:val="006633FF"/>
    <w:rsid w:val="00663E00"/>
    <w:rsid w:val="006A2948"/>
    <w:rsid w:val="006F7721"/>
    <w:rsid w:val="0070017B"/>
    <w:rsid w:val="0072056E"/>
    <w:rsid w:val="0076445C"/>
    <w:rsid w:val="00766BD5"/>
    <w:rsid w:val="00771343"/>
    <w:rsid w:val="00774B56"/>
    <w:rsid w:val="007846FF"/>
    <w:rsid w:val="00786505"/>
    <w:rsid w:val="007B127B"/>
    <w:rsid w:val="007C444C"/>
    <w:rsid w:val="008172AF"/>
    <w:rsid w:val="00862368"/>
    <w:rsid w:val="00863C53"/>
    <w:rsid w:val="008D1214"/>
    <w:rsid w:val="00902DB7"/>
    <w:rsid w:val="00931E1B"/>
    <w:rsid w:val="009472E6"/>
    <w:rsid w:val="00972EC2"/>
    <w:rsid w:val="009769CC"/>
    <w:rsid w:val="009A2CB1"/>
    <w:rsid w:val="009A2DF2"/>
    <w:rsid w:val="009B6F58"/>
    <w:rsid w:val="009D79BE"/>
    <w:rsid w:val="00A0240E"/>
    <w:rsid w:val="00AA1D66"/>
    <w:rsid w:val="00AA4EF4"/>
    <w:rsid w:val="00AA7037"/>
    <w:rsid w:val="00B01E9B"/>
    <w:rsid w:val="00B4529E"/>
    <w:rsid w:val="00B51284"/>
    <w:rsid w:val="00B609A1"/>
    <w:rsid w:val="00B657C4"/>
    <w:rsid w:val="00B86E24"/>
    <w:rsid w:val="00BA4359"/>
    <w:rsid w:val="00BE44B0"/>
    <w:rsid w:val="00BF4873"/>
    <w:rsid w:val="00C416BA"/>
    <w:rsid w:val="00C4378E"/>
    <w:rsid w:val="00C50E99"/>
    <w:rsid w:val="00C578BC"/>
    <w:rsid w:val="00CB7287"/>
    <w:rsid w:val="00CD0AD6"/>
    <w:rsid w:val="00CE3BA9"/>
    <w:rsid w:val="00CF0D6A"/>
    <w:rsid w:val="00D43935"/>
    <w:rsid w:val="00D61CF5"/>
    <w:rsid w:val="00D63E1E"/>
    <w:rsid w:val="00D65F7D"/>
    <w:rsid w:val="00D671EE"/>
    <w:rsid w:val="00D67D82"/>
    <w:rsid w:val="00D735D1"/>
    <w:rsid w:val="00DA3680"/>
    <w:rsid w:val="00DC0C8F"/>
    <w:rsid w:val="00DE5438"/>
    <w:rsid w:val="00E111B2"/>
    <w:rsid w:val="00E14EB0"/>
    <w:rsid w:val="00E23D70"/>
    <w:rsid w:val="00E41B81"/>
    <w:rsid w:val="00E51A45"/>
    <w:rsid w:val="00E768FC"/>
    <w:rsid w:val="00E91400"/>
    <w:rsid w:val="00EB742C"/>
    <w:rsid w:val="00F44F27"/>
    <w:rsid w:val="00F91EA7"/>
    <w:rsid w:val="00F973B7"/>
    <w:rsid w:val="00FD4C60"/>
    <w:rsid w:val="00FE0E95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721D25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59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  <w:style w:type="paragraph" w:customStyle="1" w:styleId="CM1">
    <w:name w:val="CM1"/>
    <w:basedOn w:val="Default"/>
    <w:next w:val="Default"/>
    <w:uiPriority w:val="99"/>
    <w:rsid w:val="002B23C8"/>
    <w:rPr>
      <w:color w:val="auto"/>
    </w:rPr>
  </w:style>
  <w:style w:type="paragraph" w:customStyle="1" w:styleId="CM3">
    <w:name w:val="CM3"/>
    <w:basedOn w:val="Default"/>
    <w:next w:val="Default"/>
    <w:uiPriority w:val="99"/>
    <w:rsid w:val="002B23C8"/>
    <w:rPr>
      <w:color w:val="auto"/>
    </w:rPr>
  </w:style>
  <w:style w:type="paragraph" w:styleId="Brezrazmikov">
    <w:name w:val="No Spacing"/>
    <w:uiPriority w:val="1"/>
    <w:qFormat/>
    <w:rsid w:val="00E41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8C77D5-AA57-4934-A7B8-9E867054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Mavrič Tina</cp:lastModifiedBy>
  <cp:revision>23</cp:revision>
  <cp:lastPrinted>2024-04-12T13:07:00Z</cp:lastPrinted>
  <dcterms:created xsi:type="dcterms:W3CDTF">2024-02-29T10:50:00Z</dcterms:created>
  <dcterms:modified xsi:type="dcterms:W3CDTF">2024-04-12T13:07:00Z</dcterms:modified>
</cp:coreProperties>
</file>